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C3916D" w14:textId="7E72B5CA" w:rsidR="00B508EF" w:rsidRDefault="007E2198" w:rsidP="00931A55">
      <w:pPr>
        <w:pStyle w:val="Heading1"/>
      </w:pPr>
      <w:r>
        <w:t xml:space="preserve">Lecture </w:t>
      </w:r>
      <w:r w:rsidR="00FB5B6B">
        <w:t>2</w:t>
      </w:r>
      <w:r>
        <w:t>: Response a</w:t>
      </w:r>
      <w:r w:rsidR="00FB520A">
        <w:t xml:space="preserve">nalysis and </w:t>
      </w:r>
      <w:r w:rsidR="00394C16">
        <w:t>MIFIRA</w:t>
      </w:r>
    </w:p>
    <w:p w14:paraId="359CB773" w14:textId="408544C7" w:rsidR="00861E7A" w:rsidRDefault="00BE3694" w:rsidP="00E9655F">
      <w:r>
        <w:rPr>
          <w:noProof/>
          <w:lang w:eastAsia="en-US"/>
        </w:rPr>
        <mc:AlternateContent>
          <mc:Choice Requires="wps">
            <w:drawing>
              <wp:anchor distT="0" distB="0" distL="114300" distR="114300" simplePos="0" relativeHeight="251658240" behindDoc="0" locked="0" layoutInCell="1" allowOverlap="1" wp14:anchorId="06CA5A6E" wp14:editId="2CB08A0D">
                <wp:simplePos x="0" y="0"/>
                <wp:positionH relativeFrom="column">
                  <wp:posOffset>-62865</wp:posOffset>
                </wp:positionH>
                <wp:positionV relativeFrom="paragraph">
                  <wp:posOffset>224155</wp:posOffset>
                </wp:positionV>
                <wp:extent cx="5595620" cy="7454900"/>
                <wp:effectExtent l="0" t="0" r="17780" b="38100"/>
                <wp:wrapTight wrapText="bothSides">
                  <wp:wrapPolygon edited="0">
                    <wp:start x="0" y="0"/>
                    <wp:lineTo x="0" y="21637"/>
                    <wp:lineTo x="21571" y="21637"/>
                    <wp:lineTo x="21571" y="0"/>
                    <wp:lineTo x="0" y="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5620" cy="74549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434AD87" w14:textId="27A629DC" w:rsidR="00854A53" w:rsidRPr="00150271" w:rsidRDefault="00854A53" w:rsidP="00142B9B">
                            <w:pPr>
                              <w:rPr>
                                <w:rFonts w:ascii="Cambria" w:hAnsi="Cambria"/>
                                <w:u w:val="single"/>
                              </w:rPr>
                            </w:pPr>
                            <w:r>
                              <w:rPr>
                                <w:rFonts w:ascii="Cambria" w:hAnsi="Cambria"/>
                                <w:u w:val="single"/>
                              </w:rPr>
                              <w:t xml:space="preserve">Response analysis, </w:t>
                            </w:r>
                            <w:r w:rsidRPr="00150271">
                              <w:rPr>
                                <w:rFonts w:ascii="Cambria" w:hAnsi="Cambria"/>
                                <w:u w:val="single"/>
                              </w:rPr>
                              <w:t>responses to food insecurity</w:t>
                            </w:r>
                            <w:r>
                              <w:rPr>
                                <w:rFonts w:ascii="Cambria" w:hAnsi="Cambria"/>
                                <w:u w:val="single"/>
                              </w:rPr>
                              <w:t>, and MIFIRA</w:t>
                            </w:r>
                          </w:p>
                          <w:p w14:paraId="63F1E08B" w14:textId="77777777" w:rsidR="00854A53" w:rsidRDefault="00854A53" w:rsidP="00142B9B">
                            <w:pPr>
                              <w:rPr>
                                <w:rFonts w:ascii="Cambria" w:hAnsi="Cambria"/>
                                <w:u w:val="single"/>
                              </w:rPr>
                            </w:pPr>
                          </w:p>
                          <w:p w14:paraId="71528AFA" w14:textId="597E0FC5" w:rsidR="00854A53" w:rsidRDefault="00854A53" w:rsidP="00142B9B">
                            <w:pPr>
                              <w:pStyle w:val="ListParagraph"/>
                              <w:numPr>
                                <w:ilvl w:val="0"/>
                                <w:numId w:val="1"/>
                              </w:numPr>
                              <w:rPr>
                                <w:rFonts w:ascii="Cambria" w:hAnsi="Cambria"/>
                              </w:rPr>
                            </w:pPr>
                            <w:r>
                              <w:rPr>
                                <w:rFonts w:ascii="Cambria" w:hAnsi="Cambria"/>
                              </w:rPr>
                              <w:t>Responses to food insecurity</w:t>
                            </w:r>
                          </w:p>
                          <w:p w14:paraId="06AA9761" w14:textId="542FE6DC" w:rsidR="00854A53" w:rsidRDefault="00854A53" w:rsidP="00142B9B">
                            <w:pPr>
                              <w:pStyle w:val="ListParagraph"/>
                              <w:numPr>
                                <w:ilvl w:val="0"/>
                                <w:numId w:val="1"/>
                              </w:numPr>
                              <w:rPr>
                                <w:rFonts w:ascii="Cambria" w:hAnsi="Cambria"/>
                              </w:rPr>
                            </w:pPr>
                            <w:r>
                              <w:rPr>
                                <w:rFonts w:ascii="Cambria" w:hAnsi="Cambria"/>
                              </w:rPr>
                              <w:t>Response analysis</w:t>
                            </w:r>
                          </w:p>
                          <w:p w14:paraId="19E218D5" w14:textId="41885C92" w:rsidR="00854A53" w:rsidRDefault="00854A53" w:rsidP="00142B9B">
                            <w:pPr>
                              <w:pStyle w:val="ListParagraph"/>
                              <w:numPr>
                                <w:ilvl w:val="0"/>
                                <w:numId w:val="1"/>
                              </w:numPr>
                              <w:rPr>
                                <w:rFonts w:ascii="Cambria" w:hAnsi="Cambria"/>
                              </w:rPr>
                            </w:pPr>
                            <w:r>
                              <w:rPr>
                                <w:rFonts w:ascii="Cambria" w:hAnsi="Cambria"/>
                              </w:rPr>
                              <w:t>B</w:t>
                            </w:r>
                            <w:r w:rsidRPr="0097153E">
                              <w:rPr>
                                <w:rFonts w:ascii="Cambria" w:hAnsi="Cambria"/>
                              </w:rPr>
                              <w:t xml:space="preserve">enefits and costs of different transfers </w:t>
                            </w:r>
                          </w:p>
                          <w:p w14:paraId="519E1E17" w14:textId="39F54527" w:rsidR="00854A53" w:rsidRDefault="00854A53" w:rsidP="00142B9B">
                            <w:pPr>
                              <w:pStyle w:val="ListParagraph"/>
                              <w:numPr>
                                <w:ilvl w:val="0"/>
                                <w:numId w:val="1"/>
                              </w:numPr>
                              <w:rPr>
                                <w:rFonts w:ascii="Cambria" w:hAnsi="Cambria"/>
                              </w:rPr>
                            </w:pPr>
                            <w:r>
                              <w:rPr>
                                <w:rFonts w:ascii="Cambria" w:hAnsi="Cambria"/>
                              </w:rPr>
                              <w:t>Definitions</w:t>
                            </w:r>
                          </w:p>
                          <w:p w14:paraId="24108CC8" w14:textId="6F876893" w:rsidR="00854A53" w:rsidRPr="00084378" w:rsidRDefault="00854A53" w:rsidP="00084378">
                            <w:pPr>
                              <w:pStyle w:val="ListParagraph"/>
                              <w:numPr>
                                <w:ilvl w:val="0"/>
                                <w:numId w:val="1"/>
                              </w:numPr>
                              <w:rPr>
                                <w:rFonts w:ascii="Cambria" w:hAnsi="Cambria"/>
                              </w:rPr>
                            </w:pPr>
                            <w:r w:rsidRPr="00150271">
                              <w:rPr>
                                <w:rFonts w:ascii="Cambria" w:hAnsi="Cambria"/>
                              </w:rPr>
                              <w:t>Market Information and Food Insecurity Response Analysis (MIFIRA)</w:t>
                            </w:r>
                            <w:r w:rsidRPr="00084378">
                              <w:rPr>
                                <w:rFonts w:ascii="Cambria" w:hAnsi="Cambria"/>
                              </w:rPr>
                              <w:t xml:space="preserve"> </w:t>
                            </w:r>
                          </w:p>
                          <w:p w14:paraId="3363CB6F" w14:textId="1680432F" w:rsidR="00854A53" w:rsidRPr="00150271" w:rsidRDefault="00854A53" w:rsidP="00142B9B">
                            <w:pPr>
                              <w:pStyle w:val="ListParagraph"/>
                              <w:numPr>
                                <w:ilvl w:val="0"/>
                                <w:numId w:val="1"/>
                              </w:numPr>
                              <w:rPr>
                                <w:rFonts w:ascii="Cambria" w:hAnsi="Cambria"/>
                              </w:rPr>
                            </w:pPr>
                            <w:r>
                              <w:rPr>
                                <w:rFonts w:ascii="Cambria" w:hAnsi="Cambria"/>
                              </w:rPr>
                              <w:t>Scales of analysis</w:t>
                            </w:r>
                          </w:p>
                          <w:p w14:paraId="29F5ACEC" w14:textId="77777777" w:rsidR="00854A53" w:rsidRPr="00150271" w:rsidRDefault="00854A53" w:rsidP="00142B9B">
                            <w:pPr>
                              <w:rPr>
                                <w:rFonts w:ascii="Cambria" w:hAnsi="Cambria"/>
                                <w:i/>
                              </w:rPr>
                            </w:pPr>
                          </w:p>
                          <w:p w14:paraId="7A1E2E72" w14:textId="05A08B80" w:rsidR="00854A53" w:rsidRDefault="00854A53" w:rsidP="00142B9B">
                            <w:pPr>
                              <w:rPr>
                                <w:rFonts w:ascii="Cambria" w:hAnsi="Cambria"/>
                                <w:i/>
                              </w:rPr>
                            </w:pPr>
                            <w:r>
                              <w:rPr>
                                <w:rFonts w:ascii="Cambria" w:hAnsi="Cambria"/>
                                <w:i/>
                              </w:rPr>
                              <w:t>Readings:</w:t>
                            </w:r>
                          </w:p>
                          <w:p w14:paraId="38482900" w14:textId="77777777" w:rsidR="00BF7DF6" w:rsidRDefault="00854A53" w:rsidP="00BF7DF6">
                            <w:pPr>
                              <w:pStyle w:val="ListParagraph"/>
                              <w:numPr>
                                <w:ilvl w:val="0"/>
                                <w:numId w:val="1"/>
                              </w:numPr>
                              <w:rPr>
                                <w:rFonts w:ascii="Cambria" w:hAnsi="Cambria"/>
                              </w:rPr>
                            </w:pPr>
                            <w:r w:rsidRPr="00150271">
                              <w:rPr>
                                <w:rFonts w:ascii="Cambria" w:hAnsi="Cambria"/>
                              </w:rPr>
                              <w:t xml:space="preserve">Barrett, C.B., Bell, R., Lentz, E.C. and Maxwell, D.G.  2009. “Market Information and Food Insecurity Response Analysis.” </w:t>
                            </w:r>
                            <w:r w:rsidRPr="00150271">
                              <w:rPr>
                                <w:rFonts w:ascii="Cambria" w:hAnsi="Cambria"/>
                                <w:i/>
                              </w:rPr>
                              <w:t>Food Security </w:t>
                            </w:r>
                            <w:r w:rsidRPr="00150271">
                              <w:rPr>
                                <w:rFonts w:ascii="Cambria" w:hAnsi="Cambria"/>
                              </w:rPr>
                              <w:t>1:151‐168. </w:t>
                            </w:r>
                          </w:p>
                          <w:p w14:paraId="4359B180" w14:textId="77777777" w:rsidR="00BF7DF6" w:rsidRDefault="00D07C49" w:rsidP="00BF7DF6">
                            <w:pPr>
                              <w:pStyle w:val="ListParagraph"/>
                            </w:pPr>
                            <w:hyperlink r:id="rId8" w:history="1">
                              <w:r w:rsidR="00BF7DF6">
                                <w:rPr>
                                  <w:rStyle w:val="Hyperlink"/>
                                </w:rPr>
                                <w:t>doi:10.1007/s12571-009-0021-3</w:t>
                              </w:r>
                            </w:hyperlink>
                          </w:p>
                          <w:p w14:paraId="7B145D9A" w14:textId="3BCAF1BB" w:rsidR="00854A53" w:rsidRPr="00BF7DF6" w:rsidRDefault="00D07C49" w:rsidP="00BF7DF6">
                            <w:pPr>
                              <w:pStyle w:val="ListParagraph"/>
                              <w:rPr>
                                <w:rFonts w:ascii="Cambria" w:hAnsi="Cambria"/>
                              </w:rPr>
                            </w:pPr>
                            <w:hyperlink r:id="rId9" w:history="1">
                              <w:r w:rsidR="00BF7DF6" w:rsidRPr="00714704">
                                <w:rPr>
                                  <w:rStyle w:val="Hyperlink"/>
                                  <w:rFonts w:ascii="Cambria" w:hAnsi="Cambria"/>
                                </w:rPr>
                                <w:t>http://www.springerlink.com/content/20t80w3656428335/</w:t>
                              </w:r>
                            </w:hyperlink>
                          </w:p>
                          <w:p w14:paraId="72E8C505" w14:textId="77777777" w:rsidR="00854A53" w:rsidRDefault="00854A53" w:rsidP="00142B9B">
                            <w:pPr>
                              <w:rPr>
                                <w:rFonts w:ascii="Cambria" w:hAnsi="Cambria"/>
                                <w:i/>
                              </w:rPr>
                            </w:pPr>
                          </w:p>
                          <w:p w14:paraId="50F7B286" w14:textId="41122284" w:rsidR="00854A53" w:rsidRPr="00BF7DF6" w:rsidRDefault="00854A53" w:rsidP="00BF7DF6">
                            <w:pPr>
                              <w:rPr>
                                <w:rFonts w:ascii="Cambria" w:hAnsi="Cambria"/>
                                <w:i/>
                              </w:rPr>
                            </w:pPr>
                            <w:r w:rsidRPr="00BF7DF6">
                              <w:rPr>
                                <w:rFonts w:ascii="Cambria" w:hAnsi="Cambria"/>
                                <w:i/>
                              </w:rPr>
                              <w:t>Supplementary Readings</w:t>
                            </w:r>
                          </w:p>
                          <w:p w14:paraId="19B747D3" w14:textId="5A8813F8" w:rsidR="00854A53" w:rsidRPr="00031127" w:rsidRDefault="00854A53" w:rsidP="00BF7DF6">
                            <w:pPr>
                              <w:pStyle w:val="ListParagraph"/>
                              <w:numPr>
                                <w:ilvl w:val="0"/>
                                <w:numId w:val="2"/>
                              </w:numPr>
                              <w:rPr>
                                <w:rFonts w:ascii="Cambria" w:hAnsi="Cambria"/>
                              </w:rPr>
                            </w:pPr>
                            <w:r>
                              <w:rPr>
                                <w:rFonts w:ascii="Cambria" w:hAnsi="Cambria"/>
                              </w:rPr>
                              <w:t>Selections from World Food Programme (2009) Emergency Food Security Assessment Handbook. Annexes 4 and 5. Pp. 255-269.</w:t>
                            </w:r>
                            <w:r w:rsidR="00BF7DF6">
                              <w:rPr>
                                <w:rFonts w:ascii="Cambria" w:hAnsi="Cambria"/>
                              </w:rPr>
                              <w:t xml:space="preserve"> </w:t>
                            </w:r>
                            <w:r w:rsidR="00BF7DF6" w:rsidRPr="00BF7DF6">
                              <w:rPr>
                                <w:rFonts w:ascii="Cambria" w:hAnsi="Cambria"/>
                                <w:i/>
                              </w:rPr>
                              <w:t xml:space="preserve"> </w:t>
                            </w:r>
                          </w:p>
                          <w:p w14:paraId="5C9BF9CD" w14:textId="25E073E2" w:rsidR="00031127" w:rsidRPr="00031127" w:rsidRDefault="00D07C49" w:rsidP="00031127">
                            <w:pPr>
                              <w:pStyle w:val="ListParagraph"/>
                              <w:ind w:left="810"/>
                              <w:rPr>
                                <w:rFonts w:ascii="Cambria" w:hAnsi="Cambria"/>
                                <w:i/>
                              </w:rPr>
                            </w:pPr>
                            <w:hyperlink r:id="rId10" w:history="1">
                              <w:r w:rsidR="00031127">
                                <w:rPr>
                                  <w:rStyle w:val="Hyperlink"/>
                                </w:rPr>
                                <w:t>http://documents.wfp.org/stellent/groups/public/documents/manual_guide_proced/wfp203245.pdf</w:t>
                              </w:r>
                            </w:hyperlink>
                          </w:p>
                          <w:p w14:paraId="130ABD41" w14:textId="0A0CE7C6" w:rsidR="00BF7DF6" w:rsidRPr="0011327C" w:rsidRDefault="00BF7DF6" w:rsidP="00BF7DF6">
                            <w:pPr>
                              <w:pStyle w:val="ListParagraph"/>
                              <w:numPr>
                                <w:ilvl w:val="0"/>
                                <w:numId w:val="2"/>
                              </w:numPr>
                              <w:rPr>
                                <w:rFonts w:ascii="Cambria" w:hAnsi="Cambria"/>
                              </w:rPr>
                            </w:pPr>
                            <w:r w:rsidRPr="0011327C">
                              <w:rPr>
                                <w:rFonts w:ascii="Cambria" w:hAnsi="Cambria"/>
                              </w:rPr>
                              <w:t xml:space="preserve">Harvey, P. (2007) “Cash – based responses in emergencies.” London: Overseas Development Institute HPG Report No. 24. </w:t>
                            </w:r>
                          </w:p>
                          <w:p w14:paraId="1E0B2149" w14:textId="77777777" w:rsidR="00BF7DF6" w:rsidRPr="0011327C" w:rsidRDefault="00D07C49" w:rsidP="00BF7DF6">
                            <w:pPr>
                              <w:pStyle w:val="ListParagraph"/>
                              <w:rPr>
                                <w:rFonts w:ascii="Cambria" w:hAnsi="Cambria"/>
                              </w:rPr>
                            </w:pPr>
                            <w:hyperlink r:id="rId11" w:history="1">
                              <w:r w:rsidR="00BF7DF6">
                                <w:rPr>
                                  <w:rStyle w:val="Hyperlink"/>
                                </w:rPr>
                                <w:t>doi:10.1111/j.1759-5436.2007.tb00383.x</w:t>
                              </w:r>
                            </w:hyperlink>
                          </w:p>
                          <w:p w14:paraId="1E3A6B9B" w14:textId="410A34BD" w:rsidR="00031127" w:rsidRPr="00031127" w:rsidRDefault="00D07C49" w:rsidP="00031127">
                            <w:pPr>
                              <w:pStyle w:val="ListParagraph"/>
                              <w:ind w:left="810"/>
                              <w:rPr>
                                <w:rFonts w:ascii="Cambria" w:hAnsi="Cambria"/>
                              </w:rPr>
                            </w:pPr>
                            <w:hyperlink r:id="rId12" w:history="1">
                              <w:r w:rsidR="00031127" w:rsidRPr="00031127">
                                <w:rPr>
                                  <w:rStyle w:val="Hyperlink"/>
                                  <w:rFonts w:eastAsia="Times New Roman" w:cs="Times New Roman"/>
                                  <w:iCs/>
                                </w:rPr>
                                <w:t>www.</w:t>
                              </w:r>
                              <w:r w:rsidR="00031127" w:rsidRPr="00031127">
                                <w:rPr>
                                  <w:rStyle w:val="Hyperlink"/>
                                  <w:rFonts w:eastAsia="Times New Roman" w:cs="Times New Roman"/>
                                  <w:b/>
                                  <w:bCs/>
                                  <w:iCs/>
                                </w:rPr>
                                <w:t>odi</w:t>
                              </w:r>
                              <w:r w:rsidR="00031127" w:rsidRPr="00031127">
                                <w:rPr>
                                  <w:rStyle w:val="Hyperlink"/>
                                  <w:rFonts w:eastAsia="Times New Roman" w:cs="Times New Roman"/>
                                  <w:iCs/>
                                </w:rPr>
                                <w:t>.org.uk/resources/docs/265.pdf</w:t>
                              </w:r>
                            </w:hyperlink>
                          </w:p>
                          <w:p w14:paraId="4196A69B" w14:textId="06E1FC92" w:rsidR="00993F3F" w:rsidRPr="00DC4646" w:rsidRDefault="00993F3F" w:rsidP="00993F3F">
                            <w:pPr>
                              <w:pStyle w:val="ListParagraph"/>
                              <w:numPr>
                                <w:ilvl w:val="0"/>
                                <w:numId w:val="2"/>
                              </w:numPr>
                              <w:rPr>
                                <w:rFonts w:ascii="Cambria" w:hAnsi="Cambria"/>
                              </w:rPr>
                            </w:pPr>
                            <w:r w:rsidRPr="00DC4646">
                              <w:rPr>
                                <w:rFonts w:cstheme="minorHAnsi"/>
                              </w:rPr>
                              <w:t xml:space="preserve">Michelson, H., E.C. Lentz, R. Mulwa, M. Morey, L. Cramer, M. McGlinchy and C. B. Barrett, “Cash, Food or Vouchers in Urban and Rural Kenya? An Application of the Market Information and Food Insecurity Response Analysis Framework,” </w:t>
                            </w:r>
                            <w:r w:rsidRPr="00DC4646">
                              <w:rPr>
                                <w:rFonts w:cstheme="minorHAnsi"/>
                                <w:i/>
                              </w:rPr>
                              <w:t>Food Security</w:t>
                            </w:r>
                            <w:r w:rsidRPr="00DC4646">
                              <w:rPr>
                                <w:rFonts w:cstheme="minorHAnsi"/>
                              </w:rPr>
                              <w:t xml:space="preserve">, forthcoming. </w:t>
                            </w:r>
                            <w:hyperlink r:id="rId13" w:history="1">
                              <w:r w:rsidR="00031127">
                                <w:rPr>
                                  <w:rStyle w:val="Hyperlink"/>
                                </w:rPr>
                                <w:t>http://dyson.cornell.edu/faculty_sites/cbb2/Papers/20110331MIFIRADraft.pdf</w:t>
                              </w:r>
                            </w:hyperlink>
                          </w:p>
                          <w:p w14:paraId="1077EFC3" w14:textId="3789A34C" w:rsidR="00D07C49" w:rsidRPr="00D07C49" w:rsidRDefault="00993F3F" w:rsidP="00D07C49">
                            <w:pPr>
                              <w:pStyle w:val="ListParagraph"/>
                              <w:numPr>
                                <w:ilvl w:val="0"/>
                                <w:numId w:val="2"/>
                              </w:numPr>
                              <w:spacing w:after="120"/>
                              <w:rPr>
                                <w:rFonts w:eastAsia="Times New Roman" w:cstheme="minorHAnsi"/>
                                <w:iCs/>
                              </w:rPr>
                            </w:pPr>
                            <w:r w:rsidRPr="0011327C">
                              <w:rPr>
                                <w:rFonts w:cstheme="minorHAnsi"/>
                                <w:lang w:val="en-GB"/>
                              </w:rPr>
                              <w:t xml:space="preserve">Mude, A. G., R. Ouma, and E.C. Lentz, “Responding to Food Insecurity: Employing the </w:t>
                            </w:r>
                            <w:bookmarkStart w:id="0" w:name="_GoBack"/>
                            <w:bookmarkEnd w:id="0"/>
                            <w:r w:rsidRPr="0011327C">
                              <w:rPr>
                                <w:rFonts w:cstheme="minorHAnsi"/>
                                <w:lang w:val="en-GB"/>
                              </w:rPr>
                              <w:t xml:space="preserve">Marking Information and Food Insecurity Response Analysis framework in rural Northern Kenya.” </w:t>
                            </w:r>
                            <w:r w:rsidRPr="0011327C">
                              <w:rPr>
                                <w:rFonts w:cstheme="minorHAnsi"/>
                                <w:i/>
                                <w:lang w:val="en-GB"/>
                              </w:rPr>
                              <w:t>Journal of Development Studies,</w:t>
                            </w:r>
                            <w:r w:rsidRPr="0011327C">
                              <w:rPr>
                                <w:rFonts w:cstheme="minorHAnsi"/>
                                <w:lang w:val="en-GB"/>
                              </w:rPr>
                              <w:t xml:space="preserve"> forthcoming.</w:t>
                            </w:r>
                            <w:r w:rsidR="00D07C49">
                              <w:rPr>
                                <w:rFonts w:cstheme="minorHAnsi"/>
                                <w:lang w:val="en-GB"/>
                              </w:rPr>
                              <w:t xml:space="preserve"> </w:t>
                            </w:r>
                            <w:hyperlink r:id="rId14" w:history="1">
                              <w:r w:rsidR="00D07C49" w:rsidRPr="00064486">
                                <w:rPr>
                                  <w:rStyle w:val="Hyperlink"/>
                                  <w:rFonts w:cstheme="minorHAnsi"/>
                                  <w:lang w:val="en-GB"/>
                                </w:rPr>
                                <w:t>http://dyson.cornell.edu/faculty_sites/cbb2/MIFIRA/apps/</w:t>
                              </w:r>
                            </w:hyperlink>
                          </w:p>
                          <w:p w14:paraId="002ED8C5" w14:textId="05CA1673" w:rsidR="00D07C49" w:rsidRPr="00D07C49" w:rsidRDefault="00993F3F" w:rsidP="00D07C49">
                            <w:pPr>
                              <w:pStyle w:val="ListParagraph"/>
                              <w:numPr>
                                <w:ilvl w:val="0"/>
                                <w:numId w:val="2"/>
                              </w:numPr>
                              <w:spacing w:after="120"/>
                              <w:rPr>
                                <w:rFonts w:eastAsia="Times New Roman" w:cstheme="minorHAnsi"/>
                                <w:iCs/>
                              </w:rPr>
                            </w:pPr>
                            <w:r w:rsidRPr="00D07C49">
                              <w:rPr>
                                <w:rFonts w:ascii="Cambria" w:hAnsi="Cambria"/>
                              </w:rPr>
                              <w:t>Hill, E., J. Upton, A. Xavier, 2011. “Local and Regional Procurement in Uganda: Lessons learned from a pilot study of the Market Information and Food Insecurity Response Analysis (MIFIRA) framework. July. Draft.</w:t>
                            </w:r>
                            <w:r w:rsidR="00D07C49" w:rsidRPr="00D07C49">
                              <w:rPr>
                                <w:rFonts w:ascii="Cambria" w:hAnsi="Cambria"/>
                              </w:rPr>
                              <w:t xml:space="preserve"> </w:t>
                            </w:r>
                            <w:hyperlink r:id="rId15" w:history="1">
                              <w:r w:rsidR="00D07C49" w:rsidRPr="00D07C49">
                                <w:rPr>
                                  <w:rStyle w:val="Hyperlink"/>
                                  <w:rFonts w:ascii="Cambria" w:hAnsi="Cambria"/>
                                </w:rPr>
                                <w:t>http://dyson.cornell.edu/faculty_sites/cbb2/MIFIRA/apps/</w:t>
                              </w:r>
                            </w:hyperlink>
                          </w:p>
                          <w:p w14:paraId="0EF61127" w14:textId="203EA3F8" w:rsidR="00854A53" w:rsidRPr="00993F3F" w:rsidRDefault="00993F3F" w:rsidP="00993F3F">
                            <w:pPr>
                              <w:pStyle w:val="ListParagraph"/>
                              <w:numPr>
                                <w:ilvl w:val="0"/>
                                <w:numId w:val="2"/>
                              </w:numPr>
                              <w:spacing w:after="120"/>
                              <w:rPr>
                                <w:rFonts w:cstheme="minorHAnsi"/>
                                <w:lang w:val="en-GB"/>
                              </w:rPr>
                            </w:pPr>
                            <w:r w:rsidRPr="0011327C">
                              <w:rPr>
                                <w:rFonts w:ascii="Cambria" w:hAnsi="Cambria"/>
                              </w:rPr>
                              <w:t xml:space="preserve"> </w:t>
                            </w:r>
                          </w:p>
                          <w:p w14:paraId="274B32A2" w14:textId="77777777" w:rsidR="00854A53" w:rsidRDefault="00854A53" w:rsidP="00142B9B"/>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4.9pt;margin-top:17.65pt;width:440.6pt;height:5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" filled="f" strokecolor="black [3213]">
                <v:textbox inset=",7.2pt,,7.2pt">
                  <w:txbxContent>
                    <w:p w14:paraId="3434AD87" w14:textId="27A629DC" w:rsidR="00854A53" w:rsidRPr="00150271" w:rsidRDefault="00854A53" w:rsidP="00142B9B">
                      <w:pPr>
                        <w:rPr>
                          <w:rFonts w:ascii="Cambria" w:hAnsi="Cambria"/>
                          <w:u w:val="single"/>
                        </w:rPr>
                      </w:pPr>
                      <w:r>
                        <w:rPr>
                          <w:rFonts w:ascii="Cambria" w:hAnsi="Cambria"/>
                          <w:u w:val="single"/>
                        </w:rPr>
                        <w:t xml:space="preserve">Response analysis, </w:t>
                      </w:r>
                      <w:r w:rsidRPr="00150271">
                        <w:rPr>
                          <w:rFonts w:ascii="Cambria" w:hAnsi="Cambria"/>
                          <w:u w:val="single"/>
                        </w:rPr>
                        <w:t>responses to food insecurity</w:t>
                      </w:r>
                      <w:r>
                        <w:rPr>
                          <w:rFonts w:ascii="Cambria" w:hAnsi="Cambria"/>
                          <w:u w:val="single"/>
                        </w:rPr>
                        <w:t>, and MIFIRA</w:t>
                      </w:r>
                    </w:p>
                    <w:p w14:paraId="63F1E08B" w14:textId="77777777" w:rsidR="00854A53" w:rsidRDefault="00854A53" w:rsidP="00142B9B">
                      <w:pPr>
                        <w:rPr>
                          <w:rFonts w:ascii="Cambria" w:hAnsi="Cambria"/>
                          <w:u w:val="single"/>
                        </w:rPr>
                      </w:pPr>
                    </w:p>
                    <w:p w14:paraId="71528AFA" w14:textId="597E0FC5" w:rsidR="00854A53" w:rsidRDefault="00854A53" w:rsidP="00142B9B">
                      <w:pPr>
                        <w:pStyle w:val="ListParagraph"/>
                        <w:numPr>
                          <w:ilvl w:val="0"/>
                          <w:numId w:val="1"/>
                        </w:numPr>
                        <w:rPr>
                          <w:rFonts w:ascii="Cambria" w:hAnsi="Cambria"/>
                        </w:rPr>
                      </w:pPr>
                      <w:r>
                        <w:rPr>
                          <w:rFonts w:ascii="Cambria" w:hAnsi="Cambria"/>
                        </w:rPr>
                        <w:t>Responses to food insecurity</w:t>
                      </w:r>
                    </w:p>
                    <w:p w14:paraId="06AA9761" w14:textId="542FE6DC" w:rsidR="00854A53" w:rsidRDefault="00854A53" w:rsidP="00142B9B">
                      <w:pPr>
                        <w:pStyle w:val="ListParagraph"/>
                        <w:numPr>
                          <w:ilvl w:val="0"/>
                          <w:numId w:val="1"/>
                        </w:numPr>
                        <w:rPr>
                          <w:rFonts w:ascii="Cambria" w:hAnsi="Cambria"/>
                        </w:rPr>
                      </w:pPr>
                      <w:r>
                        <w:rPr>
                          <w:rFonts w:ascii="Cambria" w:hAnsi="Cambria"/>
                        </w:rPr>
                        <w:t>Response analysis</w:t>
                      </w:r>
                    </w:p>
                    <w:p w14:paraId="19E218D5" w14:textId="41885C92" w:rsidR="00854A53" w:rsidRDefault="00854A53" w:rsidP="00142B9B">
                      <w:pPr>
                        <w:pStyle w:val="ListParagraph"/>
                        <w:numPr>
                          <w:ilvl w:val="0"/>
                          <w:numId w:val="1"/>
                        </w:numPr>
                        <w:rPr>
                          <w:rFonts w:ascii="Cambria" w:hAnsi="Cambria"/>
                        </w:rPr>
                      </w:pPr>
                      <w:r>
                        <w:rPr>
                          <w:rFonts w:ascii="Cambria" w:hAnsi="Cambria"/>
                        </w:rPr>
                        <w:t>B</w:t>
                      </w:r>
                      <w:r w:rsidRPr="0097153E">
                        <w:rPr>
                          <w:rFonts w:ascii="Cambria" w:hAnsi="Cambria"/>
                        </w:rPr>
                        <w:t xml:space="preserve">enefits and costs of different transfers </w:t>
                      </w:r>
                    </w:p>
                    <w:p w14:paraId="519E1E17" w14:textId="39F54527" w:rsidR="00854A53" w:rsidRDefault="00854A53" w:rsidP="00142B9B">
                      <w:pPr>
                        <w:pStyle w:val="ListParagraph"/>
                        <w:numPr>
                          <w:ilvl w:val="0"/>
                          <w:numId w:val="1"/>
                        </w:numPr>
                        <w:rPr>
                          <w:rFonts w:ascii="Cambria" w:hAnsi="Cambria"/>
                        </w:rPr>
                      </w:pPr>
                      <w:r>
                        <w:rPr>
                          <w:rFonts w:ascii="Cambria" w:hAnsi="Cambria"/>
                        </w:rPr>
                        <w:t>Definitions</w:t>
                      </w:r>
                    </w:p>
                    <w:p w14:paraId="24108CC8" w14:textId="6F876893" w:rsidR="00854A53" w:rsidRPr="00084378" w:rsidRDefault="00854A53" w:rsidP="00084378">
                      <w:pPr>
                        <w:pStyle w:val="ListParagraph"/>
                        <w:numPr>
                          <w:ilvl w:val="0"/>
                          <w:numId w:val="1"/>
                        </w:numPr>
                        <w:rPr>
                          <w:rFonts w:ascii="Cambria" w:hAnsi="Cambria"/>
                        </w:rPr>
                      </w:pPr>
                      <w:r w:rsidRPr="00150271">
                        <w:rPr>
                          <w:rFonts w:ascii="Cambria" w:hAnsi="Cambria"/>
                        </w:rPr>
                        <w:t>Market Information and Food Insecurity Response Analysis (MIFIRA)</w:t>
                      </w:r>
                      <w:r w:rsidRPr="00084378">
                        <w:rPr>
                          <w:rFonts w:ascii="Cambria" w:hAnsi="Cambria"/>
                        </w:rPr>
                        <w:t xml:space="preserve"> </w:t>
                      </w:r>
                    </w:p>
                    <w:p w14:paraId="3363CB6F" w14:textId="1680432F" w:rsidR="00854A53" w:rsidRPr="00150271" w:rsidRDefault="00854A53" w:rsidP="00142B9B">
                      <w:pPr>
                        <w:pStyle w:val="ListParagraph"/>
                        <w:numPr>
                          <w:ilvl w:val="0"/>
                          <w:numId w:val="1"/>
                        </w:numPr>
                        <w:rPr>
                          <w:rFonts w:ascii="Cambria" w:hAnsi="Cambria"/>
                        </w:rPr>
                      </w:pPr>
                      <w:r>
                        <w:rPr>
                          <w:rFonts w:ascii="Cambria" w:hAnsi="Cambria"/>
                        </w:rPr>
                        <w:t>Scales of analysis</w:t>
                      </w:r>
                    </w:p>
                    <w:p w14:paraId="29F5ACEC" w14:textId="77777777" w:rsidR="00854A53" w:rsidRPr="00150271" w:rsidRDefault="00854A53" w:rsidP="00142B9B">
                      <w:pPr>
                        <w:rPr>
                          <w:rFonts w:ascii="Cambria" w:hAnsi="Cambria"/>
                          <w:i/>
                        </w:rPr>
                      </w:pPr>
                    </w:p>
                    <w:p w14:paraId="7A1E2E72" w14:textId="05A08B80" w:rsidR="00854A53" w:rsidRDefault="00854A53" w:rsidP="00142B9B">
                      <w:pPr>
                        <w:rPr>
                          <w:rFonts w:ascii="Cambria" w:hAnsi="Cambria"/>
                          <w:i/>
                        </w:rPr>
                      </w:pPr>
                      <w:r>
                        <w:rPr>
                          <w:rFonts w:ascii="Cambria" w:hAnsi="Cambria"/>
                          <w:i/>
                        </w:rPr>
                        <w:t>Readings:</w:t>
                      </w:r>
                    </w:p>
                    <w:p w14:paraId="38482900" w14:textId="77777777" w:rsidR="00BF7DF6" w:rsidRDefault="00854A53" w:rsidP="00BF7DF6">
                      <w:pPr>
                        <w:pStyle w:val="ListParagraph"/>
                        <w:numPr>
                          <w:ilvl w:val="0"/>
                          <w:numId w:val="1"/>
                        </w:numPr>
                        <w:rPr>
                          <w:rFonts w:ascii="Cambria" w:hAnsi="Cambria"/>
                        </w:rPr>
                      </w:pPr>
                      <w:r w:rsidRPr="00150271">
                        <w:rPr>
                          <w:rFonts w:ascii="Cambria" w:hAnsi="Cambria"/>
                        </w:rPr>
                        <w:t xml:space="preserve">Barrett, C.B., Bell, R., Lentz, E.C. and Maxwell, D.G.  2009. “Market Information and Food Insecurity Response Analysis.” </w:t>
                      </w:r>
                      <w:r w:rsidRPr="00150271">
                        <w:rPr>
                          <w:rFonts w:ascii="Cambria" w:hAnsi="Cambria"/>
                          <w:i/>
                        </w:rPr>
                        <w:t>Food Security </w:t>
                      </w:r>
                      <w:r w:rsidRPr="00150271">
                        <w:rPr>
                          <w:rFonts w:ascii="Cambria" w:hAnsi="Cambria"/>
                        </w:rPr>
                        <w:t>1:151‐168. </w:t>
                      </w:r>
                    </w:p>
                    <w:p w14:paraId="4359B180" w14:textId="77777777" w:rsidR="00BF7DF6" w:rsidRDefault="00D07C49" w:rsidP="00BF7DF6">
                      <w:pPr>
                        <w:pStyle w:val="ListParagraph"/>
                      </w:pPr>
                      <w:hyperlink r:id="rId16" w:history="1">
                        <w:r w:rsidR="00BF7DF6">
                          <w:rPr>
                            <w:rStyle w:val="Hyperlink"/>
                          </w:rPr>
                          <w:t>doi:10.1007/s12571-009-0021-3</w:t>
                        </w:r>
                      </w:hyperlink>
                    </w:p>
                    <w:p w14:paraId="7B145D9A" w14:textId="3BCAF1BB" w:rsidR="00854A53" w:rsidRPr="00BF7DF6" w:rsidRDefault="00D07C49" w:rsidP="00BF7DF6">
                      <w:pPr>
                        <w:pStyle w:val="ListParagraph"/>
                        <w:rPr>
                          <w:rFonts w:ascii="Cambria" w:hAnsi="Cambria"/>
                        </w:rPr>
                      </w:pPr>
                      <w:hyperlink r:id="rId17" w:history="1">
                        <w:r w:rsidR="00BF7DF6" w:rsidRPr="00714704">
                          <w:rPr>
                            <w:rStyle w:val="Hyperlink"/>
                            <w:rFonts w:ascii="Cambria" w:hAnsi="Cambria"/>
                          </w:rPr>
                          <w:t>http://www.springerlink.com/content/20t80w3656428335/</w:t>
                        </w:r>
                      </w:hyperlink>
                    </w:p>
                    <w:p w14:paraId="72E8C505" w14:textId="77777777" w:rsidR="00854A53" w:rsidRDefault="00854A53" w:rsidP="00142B9B">
                      <w:pPr>
                        <w:rPr>
                          <w:rFonts w:ascii="Cambria" w:hAnsi="Cambria"/>
                          <w:i/>
                        </w:rPr>
                      </w:pPr>
                    </w:p>
                    <w:p w14:paraId="50F7B286" w14:textId="41122284" w:rsidR="00854A53" w:rsidRPr="00BF7DF6" w:rsidRDefault="00854A53" w:rsidP="00BF7DF6">
                      <w:pPr>
                        <w:rPr>
                          <w:rFonts w:ascii="Cambria" w:hAnsi="Cambria"/>
                          <w:i/>
                        </w:rPr>
                      </w:pPr>
                      <w:r w:rsidRPr="00BF7DF6">
                        <w:rPr>
                          <w:rFonts w:ascii="Cambria" w:hAnsi="Cambria"/>
                          <w:i/>
                        </w:rPr>
                        <w:t>Supplementary Readings</w:t>
                      </w:r>
                    </w:p>
                    <w:p w14:paraId="19B747D3" w14:textId="5A8813F8" w:rsidR="00854A53" w:rsidRPr="00031127" w:rsidRDefault="00854A53" w:rsidP="00BF7DF6">
                      <w:pPr>
                        <w:pStyle w:val="ListParagraph"/>
                        <w:numPr>
                          <w:ilvl w:val="0"/>
                          <w:numId w:val="2"/>
                        </w:numPr>
                        <w:rPr>
                          <w:rFonts w:ascii="Cambria" w:hAnsi="Cambria"/>
                        </w:rPr>
                      </w:pPr>
                      <w:r>
                        <w:rPr>
                          <w:rFonts w:ascii="Cambria" w:hAnsi="Cambria"/>
                        </w:rPr>
                        <w:t>Selections from World Food Programme (2009) Emergency Food Security Assessment Handbook. Annexes 4 and 5. Pp. 255-269.</w:t>
                      </w:r>
                      <w:r w:rsidR="00BF7DF6">
                        <w:rPr>
                          <w:rFonts w:ascii="Cambria" w:hAnsi="Cambria"/>
                        </w:rPr>
                        <w:t xml:space="preserve"> </w:t>
                      </w:r>
                      <w:r w:rsidR="00BF7DF6" w:rsidRPr="00BF7DF6">
                        <w:rPr>
                          <w:rFonts w:ascii="Cambria" w:hAnsi="Cambria"/>
                          <w:i/>
                        </w:rPr>
                        <w:t xml:space="preserve"> </w:t>
                      </w:r>
                    </w:p>
                    <w:p w14:paraId="5C9BF9CD" w14:textId="25E073E2" w:rsidR="00031127" w:rsidRPr="00031127" w:rsidRDefault="00D07C49" w:rsidP="00031127">
                      <w:pPr>
                        <w:pStyle w:val="ListParagraph"/>
                        <w:ind w:left="810"/>
                        <w:rPr>
                          <w:rFonts w:ascii="Cambria" w:hAnsi="Cambria"/>
                          <w:i/>
                        </w:rPr>
                      </w:pPr>
                      <w:hyperlink r:id="rId18" w:history="1">
                        <w:r w:rsidR="00031127">
                          <w:rPr>
                            <w:rStyle w:val="Hyperlink"/>
                          </w:rPr>
                          <w:t>http://documents.wfp.org/stellent/groups/public/documents/manual_guide_proced/wfp203245.pdf</w:t>
                        </w:r>
                      </w:hyperlink>
                    </w:p>
                    <w:p w14:paraId="130ABD41" w14:textId="0A0CE7C6" w:rsidR="00BF7DF6" w:rsidRPr="0011327C" w:rsidRDefault="00BF7DF6" w:rsidP="00BF7DF6">
                      <w:pPr>
                        <w:pStyle w:val="ListParagraph"/>
                        <w:numPr>
                          <w:ilvl w:val="0"/>
                          <w:numId w:val="2"/>
                        </w:numPr>
                        <w:rPr>
                          <w:rFonts w:ascii="Cambria" w:hAnsi="Cambria"/>
                        </w:rPr>
                      </w:pPr>
                      <w:r w:rsidRPr="0011327C">
                        <w:rPr>
                          <w:rFonts w:ascii="Cambria" w:hAnsi="Cambria"/>
                        </w:rPr>
                        <w:t xml:space="preserve">Harvey, P. (2007) “Cash – based responses in emergencies.” London: Overseas Development Institute HPG Report No. 24. </w:t>
                      </w:r>
                    </w:p>
                    <w:p w14:paraId="1E0B2149" w14:textId="77777777" w:rsidR="00BF7DF6" w:rsidRPr="0011327C" w:rsidRDefault="00D07C49" w:rsidP="00BF7DF6">
                      <w:pPr>
                        <w:pStyle w:val="ListParagraph"/>
                        <w:rPr>
                          <w:rFonts w:ascii="Cambria" w:hAnsi="Cambria"/>
                        </w:rPr>
                      </w:pPr>
                      <w:hyperlink r:id="rId19" w:history="1">
                        <w:r w:rsidR="00BF7DF6">
                          <w:rPr>
                            <w:rStyle w:val="Hyperlink"/>
                          </w:rPr>
                          <w:t>doi:10.1111/j.1759-5436.2007.tb00383.x</w:t>
                        </w:r>
                      </w:hyperlink>
                    </w:p>
                    <w:p w14:paraId="1E3A6B9B" w14:textId="410A34BD" w:rsidR="00031127" w:rsidRPr="00031127" w:rsidRDefault="00D07C49" w:rsidP="00031127">
                      <w:pPr>
                        <w:pStyle w:val="ListParagraph"/>
                        <w:ind w:left="810"/>
                        <w:rPr>
                          <w:rFonts w:ascii="Cambria" w:hAnsi="Cambria"/>
                        </w:rPr>
                      </w:pPr>
                      <w:hyperlink r:id="rId20" w:history="1">
                        <w:r w:rsidR="00031127" w:rsidRPr="00031127">
                          <w:rPr>
                            <w:rStyle w:val="Hyperlink"/>
                            <w:rFonts w:eastAsia="Times New Roman" w:cs="Times New Roman"/>
                            <w:iCs/>
                          </w:rPr>
                          <w:t>www.</w:t>
                        </w:r>
                        <w:r w:rsidR="00031127" w:rsidRPr="00031127">
                          <w:rPr>
                            <w:rStyle w:val="Hyperlink"/>
                            <w:rFonts w:eastAsia="Times New Roman" w:cs="Times New Roman"/>
                            <w:b/>
                            <w:bCs/>
                            <w:iCs/>
                          </w:rPr>
                          <w:t>odi</w:t>
                        </w:r>
                        <w:r w:rsidR="00031127" w:rsidRPr="00031127">
                          <w:rPr>
                            <w:rStyle w:val="Hyperlink"/>
                            <w:rFonts w:eastAsia="Times New Roman" w:cs="Times New Roman"/>
                            <w:iCs/>
                          </w:rPr>
                          <w:t>.org.uk/resources/docs/265.pdf</w:t>
                        </w:r>
                      </w:hyperlink>
                    </w:p>
                    <w:p w14:paraId="4196A69B" w14:textId="06E1FC92" w:rsidR="00993F3F" w:rsidRPr="00DC4646" w:rsidRDefault="00993F3F" w:rsidP="00993F3F">
                      <w:pPr>
                        <w:pStyle w:val="ListParagraph"/>
                        <w:numPr>
                          <w:ilvl w:val="0"/>
                          <w:numId w:val="2"/>
                        </w:numPr>
                        <w:rPr>
                          <w:rFonts w:ascii="Cambria" w:hAnsi="Cambria"/>
                        </w:rPr>
                      </w:pPr>
                      <w:r w:rsidRPr="00DC4646">
                        <w:rPr>
                          <w:rFonts w:cstheme="minorHAnsi"/>
                        </w:rPr>
                        <w:t xml:space="preserve">Michelson, H., E.C. Lentz, R. Mulwa, M. Morey, L. Cramer, M. McGlinchy and C. B. Barrett, “Cash, Food or Vouchers in Urban and Rural Kenya? An Application of the Market Information and Food Insecurity Response Analysis Framework,” </w:t>
                      </w:r>
                      <w:r w:rsidRPr="00DC4646">
                        <w:rPr>
                          <w:rFonts w:cstheme="minorHAnsi"/>
                          <w:i/>
                        </w:rPr>
                        <w:t>Food Security</w:t>
                      </w:r>
                      <w:r w:rsidRPr="00DC4646">
                        <w:rPr>
                          <w:rFonts w:cstheme="minorHAnsi"/>
                        </w:rPr>
                        <w:t xml:space="preserve">, forthcoming. </w:t>
                      </w:r>
                      <w:hyperlink r:id="rId21" w:history="1">
                        <w:r w:rsidR="00031127">
                          <w:rPr>
                            <w:rStyle w:val="Hyperlink"/>
                          </w:rPr>
                          <w:t>http://dyson.cornell.edu/faculty_sites/cbb2/Papers/20110331MIFIRADraft.pdf</w:t>
                        </w:r>
                      </w:hyperlink>
                    </w:p>
                    <w:p w14:paraId="1077EFC3" w14:textId="3789A34C" w:rsidR="00D07C49" w:rsidRPr="00D07C49" w:rsidRDefault="00993F3F" w:rsidP="00D07C49">
                      <w:pPr>
                        <w:pStyle w:val="ListParagraph"/>
                        <w:numPr>
                          <w:ilvl w:val="0"/>
                          <w:numId w:val="2"/>
                        </w:numPr>
                        <w:spacing w:after="120"/>
                        <w:rPr>
                          <w:rFonts w:eastAsia="Times New Roman" w:cstheme="minorHAnsi"/>
                          <w:iCs/>
                        </w:rPr>
                      </w:pPr>
                      <w:r w:rsidRPr="0011327C">
                        <w:rPr>
                          <w:rFonts w:cstheme="minorHAnsi"/>
                          <w:lang w:val="en-GB"/>
                        </w:rPr>
                        <w:t xml:space="preserve">Mude, A. G., R. Ouma, and E.C. Lentz, “Responding to Food Insecurity: Employing the </w:t>
                      </w:r>
                      <w:bookmarkStart w:id="1" w:name="_GoBack"/>
                      <w:bookmarkEnd w:id="1"/>
                      <w:r w:rsidRPr="0011327C">
                        <w:rPr>
                          <w:rFonts w:cstheme="minorHAnsi"/>
                          <w:lang w:val="en-GB"/>
                        </w:rPr>
                        <w:t xml:space="preserve">Marking Information and Food Insecurity Response Analysis framework in rural Northern Kenya.” </w:t>
                      </w:r>
                      <w:r w:rsidRPr="0011327C">
                        <w:rPr>
                          <w:rFonts w:cstheme="minorHAnsi"/>
                          <w:i/>
                          <w:lang w:val="en-GB"/>
                        </w:rPr>
                        <w:t>Journal of Development Studies,</w:t>
                      </w:r>
                      <w:r w:rsidRPr="0011327C">
                        <w:rPr>
                          <w:rFonts w:cstheme="minorHAnsi"/>
                          <w:lang w:val="en-GB"/>
                        </w:rPr>
                        <w:t xml:space="preserve"> forthcoming.</w:t>
                      </w:r>
                      <w:r w:rsidR="00D07C49">
                        <w:rPr>
                          <w:rFonts w:cstheme="minorHAnsi"/>
                          <w:lang w:val="en-GB"/>
                        </w:rPr>
                        <w:t xml:space="preserve"> </w:t>
                      </w:r>
                      <w:hyperlink r:id="rId22" w:history="1">
                        <w:r w:rsidR="00D07C49" w:rsidRPr="00064486">
                          <w:rPr>
                            <w:rStyle w:val="Hyperlink"/>
                            <w:rFonts w:cstheme="minorHAnsi"/>
                            <w:lang w:val="en-GB"/>
                          </w:rPr>
                          <w:t>http://dyson.cornell.edu/faculty_sites/cbb2/MIFIRA/apps/</w:t>
                        </w:r>
                      </w:hyperlink>
                    </w:p>
                    <w:p w14:paraId="002ED8C5" w14:textId="05CA1673" w:rsidR="00D07C49" w:rsidRPr="00D07C49" w:rsidRDefault="00993F3F" w:rsidP="00D07C49">
                      <w:pPr>
                        <w:pStyle w:val="ListParagraph"/>
                        <w:numPr>
                          <w:ilvl w:val="0"/>
                          <w:numId w:val="2"/>
                        </w:numPr>
                        <w:spacing w:after="120"/>
                        <w:rPr>
                          <w:rFonts w:eastAsia="Times New Roman" w:cstheme="minorHAnsi"/>
                          <w:iCs/>
                        </w:rPr>
                      </w:pPr>
                      <w:r w:rsidRPr="00D07C49">
                        <w:rPr>
                          <w:rFonts w:ascii="Cambria" w:hAnsi="Cambria"/>
                        </w:rPr>
                        <w:t>Hill, E., J. Upton, A. Xavier, 2011. “Local and Regional Procurement in Uganda: Lessons learned from a pilot study of the Market Information and Food Insecurity Response Analysis (MIFIRA) framework. July. Draft.</w:t>
                      </w:r>
                      <w:r w:rsidR="00D07C49" w:rsidRPr="00D07C49">
                        <w:rPr>
                          <w:rFonts w:ascii="Cambria" w:hAnsi="Cambria"/>
                        </w:rPr>
                        <w:t xml:space="preserve"> </w:t>
                      </w:r>
                      <w:hyperlink r:id="rId23" w:history="1">
                        <w:r w:rsidR="00D07C49" w:rsidRPr="00D07C49">
                          <w:rPr>
                            <w:rStyle w:val="Hyperlink"/>
                            <w:rFonts w:ascii="Cambria" w:hAnsi="Cambria"/>
                          </w:rPr>
                          <w:t>http://dyson.cornell.edu/faculty_sites/cbb2/MIFIRA/apps/</w:t>
                        </w:r>
                      </w:hyperlink>
                    </w:p>
                    <w:p w14:paraId="0EF61127" w14:textId="203EA3F8" w:rsidR="00854A53" w:rsidRPr="00993F3F" w:rsidRDefault="00993F3F" w:rsidP="00993F3F">
                      <w:pPr>
                        <w:pStyle w:val="ListParagraph"/>
                        <w:numPr>
                          <w:ilvl w:val="0"/>
                          <w:numId w:val="2"/>
                        </w:numPr>
                        <w:spacing w:after="120"/>
                        <w:rPr>
                          <w:rFonts w:cstheme="minorHAnsi"/>
                          <w:lang w:val="en-GB"/>
                        </w:rPr>
                      </w:pPr>
                      <w:r w:rsidRPr="0011327C">
                        <w:rPr>
                          <w:rFonts w:ascii="Cambria" w:hAnsi="Cambria"/>
                        </w:rPr>
                        <w:t xml:space="preserve"> </w:t>
                      </w:r>
                    </w:p>
                    <w:p w14:paraId="274B32A2" w14:textId="77777777" w:rsidR="00854A53" w:rsidRDefault="00854A53" w:rsidP="00142B9B"/>
                  </w:txbxContent>
                </v:textbox>
                <w10:wrap type="tight"/>
              </v:shape>
            </w:pict>
          </mc:Fallback>
        </mc:AlternateContent>
      </w:r>
    </w:p>
    <w:p w14:paraId="645926C5" w14:textId="77777777" w:rsidR="008118B5" w:rsidRDefault="008118B5" w:rsidP="00EB4ABF"/>
    <w:p w14:paraId="5836823B" w14:textId="77777777" w:rsidR="00394EA6" w:rsidRPr="00EB4ABF" w:rsidRDefault="00A05CE7" w:rsidP="00EB4ABF">
      <w:pPr>
        <w:rPr>
          <w:b/>
        </w:rPr>
      </w:pPr>
      <w:r w:rsidRPr="00EB4ABF">
        <w:rPr>
          <w:b/>
        </w:rPr>
        <w:t>R</w:t>
      </w:r>
      <w:r w:rsidR="00394EA6" w:rsidRPr="00EB4ABF">
        <w:rPr>
          <w:b/>
        </w:rPr>
        <w:t>esponses to food insecurity</w:t>
      </w:r>
    </w:p>
    <w:p w14:paraId="3E2EE7E7" w14:textId="77777777" w:rsidR="00534B8C" w:rsidRPr="00E06D67" w:rsidRDefault="00534B8C">
      <w:pPr>
        <w:rPr>
          <w:b/>
        </w:rPr>
      </w:pPr>
    </w:p>
    <w:p w14:paraId="3E491B22" w14:textId="641EFDDC" w:rsidR="00EB3215" w:rsidRPr="00610505" w:rsidRDefault="00610505" w:rsidP="007E4541">
      <w:pPr>
        <w:rPr>
          <w:b/>
        </w:rPr>
      </w:pPr>
      <w:r w:rsidRPr="00610505">
        <w:t>The p</w:t>
      </w:r>
      <w:r w:rsidR="005034CB" w:rsidRPr="00610505">
        <w:t>olitical economy of aid distributions</w:t>
      </w:r>
      <w:r w:rsidR="00EB3215" w:rsidRPr="00610505">
        <w:t xml:space="preserve"> is changing</w:t>
      </w:r>
      <w:r w:rsidRPr="00610505">
        <w:t>.</w:t>
      </w:r>
      <w:r>
        <w:rPr>
          <w:b/>
        </w:rPr>
        <w:t xml:space="preserve"> </w:t>
      </w:r>
      <w:r w:rsidR="00AA3539">
        <w:t>For a long time, the US, Canada, and other donors shipped food aid. Now, there are many transfer choices</w:t>
      </w:r>
      <w:r w:rsidR="009E7D8F">
        <w:t xml:space="preserve"> when responding to food insecurity, including cash and vouchers, food procured locally and regionally, and transoceanic food aid</w:t>
      </w:r>
      <w:r w:rsidR="00AA3539">
        <w:t xml:space="preserve">. </w:t>
      </w:r>
      <w:r w:rsidR="007C7258">
        <w:t>Several factors have resulted in this growing trend away from</w:t>
      </w:r>
      <w:r w:rsidR="009E7D8F">
        <w:t xml:space="preserve"> exclusive donations of </w:t>
      </w:r>
      <w:r w:rsidR="007C7258">
        <w:t>in-kind transoce</w:t>
      </w:r>
      <w:r w:rsidR="009E7D8F">
        <w:t xml:space="preserve">anic food aid. </w:t>
      </w:r>
      <w:r w:rsidR="007C7258">
        <w:t xml:space="preserve"> </w:t>
      </w:r>
      <w:r w:rsidR="00EE756B">
        <w:t>Increasing donor flexibility</w:t>
      </w:r>
      <w:r w:rsidR="007E4541">
        <w:t>, such as the European Commission’s untying of aid and recent appropriations for local and regional procurement of food aid in the 2008 US Farm Bill,</w:t>
      </w:r>
      <w:r w:rsidR="00EE756B">
        <w:t xml:space="preserve"> has enabled agencies to </w:t>
      </w:r>
      <w:r w:rsidR="007E4541">
        <w:t>consider alternatives to tied, in-kind food aid.</w:t>
      </w:r>
      <w:r w:rsidR="00EE756B">
        <w:t xml:space="preserve"> Further, a focus on respondent-driven needs, rather than donor-driven availability, has </w:t>
      </w:r>
      <w:r w:rsidR="007E4541">
        <w:t xml:space="preserve">contributed to a growing </w:t>
      </w:r>
      <w:r w:rsidR="00EE756B">
        <w:t xml:space="preserve">momentum </w:t>
      </w:r>
      <w:r w:rsidR="00C46E9E">
        <w:t>for non in-</w:t>
      </w:r>
      <w:r w:rsidR="00DD04AF">
        <w:t xml:space="preserve">kind transfers (see Barrett </w:t>
      </w:r>
      <w:r w:rsidR="0059225A">
        <w:t xml:space="preserve">et al. </w:t>
      </w:r>
      <w:r w:rsidR="00DD04AF">
        <w:t>2009 for more detail).</w:t>
      </w:r>
      <w:r w:rsidR="00EE756B">
        <w:t xml:space="preserve"> </w:t>
      </w:r>
    </w:p>
    <w:p w14:paraId="1D11668C" w14:textId="77777777" w:rsidR="00534B8C" w:rsidRDefault="00534B8C" w:rsidP="005F5F93"/>
    <w:p w14:paraId="646D07E8" w14:textId="45D52D64" w:rsidR="005F5F93" w:rsidRPr="00EB3215" w:rsidRDefault="005F5F93" w:rsidP="005F5F93">
      <w:r>
        <w:t xml:space="preserve">A fundamental question is how to choose from among these different types of transfers. </w:t>
      </w:r>
      <w:r w:rsidRPr="000351DF">
        <w:t>The increasing availability of choices means that agencies need better assistance in understanding response analysis. Many of the costs and benefits of the various transfer options are contingent upon markets.</w:t>
      </w:r>
    </w:p>
    <w:p w14:paraId="3F97D476" w14:textId="77777777" w:rsidR="00DD4A47" w:rsidRDefault="00DD4A47" w:rsidP="00DD4A47">
      <w:pPr>
        <w:rPr>
          <w:b/>
        </w:rPr>
      </w:pPr>
    </w:p>
    <w:p w14:paraId="05AF7066" w14:textId="25938973" w:rsidR="006D4782" w:rsidRDefault="00B072FB" w:rsidP="006D4782">
      <w:pPr>
        <w:rPr>
          <w:b/>
        </w:rPr>
      </w:pPr>
      <w:r>
        <w:rPr>
          <w:b/>
        </w:rPr>
        <w:t>Response Analysis</w:t>
      </w:r>
    </w:p>
    <w:p w14:paraId="0825FA93" w14:textId="4993992F" w:rsidR="000351DF" w:rsidRDefault="006D4782" w:rsidP="006D4782">
      <w:r>
        <w:t>Most agencies and donors now agree that responses ought to</w:t>
      </w:r>
      <w:r w:rsidR="000351DF">
        <w:t xml:space="preserve"> be tailored to context. In order to do so, agencies need better decision-making tools to help guide both emergency response planning and programs that help protect consumption and assets in situations of chronic food insecurity. Between the needs assessment and r</w:t>
      </w:r>
      <w:r>
        <w:t>esponse planning function</w:t>
      </w:r>
      <w:r w:rsidR="000351DF">
        <w:t xml:space="preserve"> exists an equally important – but commonly neglected – step of analyzing the likely impact of alternative responses, </w:t>
      </w:r>
      <w:r>
        <w:t xml:space="preserve">an aspect of the programming cycle </w:t>
      </w:r>
      <w:r w:rsidR="000351DF">
        <w:t>that is coming to be known as “response analysis.”</w:t>
      </w:r>
    </w:p>
    <w:p w14:paraId="62EE588E" w14:textId="77777777" w:rsidR="006D4782" w:rsidRDefault="006D4782" w:rsidP="006D4782"/>
    <w:p w14:paraId="7E1AD603" w14:textId="4C78F7F2" w:rsidR="00D734C9" w:rsidRPr="000351DF" w:rsidRDefault="006D4782" w:rsidP="00752119">
      <w:r>
        <w:t>MIFIRA is one</w:t>
      </w:r>
      <w:r w:rsidR="00B95854">
        <w:t xml:space="preserve"> approach to response analysis.</w:t>
      </w:r>
      <w:r w:rsidR="006C6EC3" w:rsidRPr="000351DF">
        <w:t xml:space="preserve"> </w:t>
      </w:r>
      <w:r w:rsidR="003D41C4">
        <w:t>Comprised of t</w:t>
      </w:r>
      <w:r w:rsidR="006C6EC3" w:rsidRPr="000351DF">
        <w:t>wo framing questions and associated subquestions</w:t>
      </w:r>
      <w:r w:rsidR="00436FBA">
        <w:t>,</w:t>
      </w:r>
      <w:r>
        <w:t xml:space="preserve"> MIFIRA is</w:t>
      </w:r>
      <w:r w:rsidR="00436FBA">
        <w:t xml:space="preserve"> </w:t>
      </w:r>
      <w:r w:rsidR="00D734C9">
        <w:t>designed to assess</w:t>
      </w:r>
      <w:r w:rsidR="000351DF">
        <w:t xml:space="preserve"> market capacity to respond to food insecurity</w:t>
      </w:r>
      <w:r w:rsidR="006C6EC3" w:rsidRPr="000351DF">
        <w:t>.</w:t>
      </w:r>
      <w:r>
        <w:t xml:space="preserve"> </w:t>
      </w:r>
    </w:p>
    <w:p w14:paraId="0A39EC4E" w14:textId="77777777" w:rsidR="005D64B6" w:rsidRPr="005D64B6" w:rsidRDefault="005D64B6" w:rsidP="005D64B6">
      <w:pPr>
        <w:rPr>
          <w:b/>
        </w:rPr>
      </w:pPr>
    </w:p>
    <w:p w14:paraId="6B2B1039" w14:textId="167279C0" w:rsidR="005D64B6" w:rsidRDefault="00413C53" w:rsidP="001567AD">
      <w:r>
        <w:t>Figure 1</w:t>
      </w:r>
      <w:r w:rsidR="00BD10E0">
        <w:t xml:space="preserve"> </w:t>
      </w:r>
      <w:r w:rsidR="0056393E">
        <w:t>is a standard way of situating</w:t>
      </w:r>
      <w:r w:rsidR="00BD10E0">
        <w:t xml:space="preserve"> response analysis within the programming cycle. Yet, </w:t>
      </w:r>
      <w:r w:rsidR="005D64B6" w:rsidRPr="00AB6E89">
        <w:t>various processes that must take place roughly simultaneously in</w:t>
      </w:r>
      <w:r w:rsidR="005D64B6">
        <w:t xml:space="preserve"> the face of vulnerability and shocks that potentially cause food security crises.  These </w:t>
      </w:r>
      <w:r w:rsidR="003D41C4">
        <w:t xml:space="preserve">processes </w:t>
      </w:r>
      <w:r w:rsidR="005D64B6">
        <w:t xml:space="preserve">can be summarized as information gathering tasks, planning and analysis tasks, and program implementation tasks. </w:t>
      </w:r>
      <w:r w:rsidR="00BD10E0">
        <w:t xml:space="preserve">Thus Figure 2 is a more realistic, albeit more complex, representation. </w:t>
      </w:r>
      <w:r w:rsidR="005D64B6" w:rsidRPr="002125F6">
        <w:t xml:space="preserve">Several </w:t>
      </w:r>
      <w:r w:rsidR="005D64B6">
        <w:t xml:space="preserve">points about Figure </w:t>
      </w:r>
      <w:r w:rsidR="00BD10E0">
        <w:t xml:space="preserve">2 merit </w:t>
      </w:r>
      <w:r w:rsidR="005D64B6">
        <w:t xml:space="preserve">mention. First, </w:t>
      </w:r>
      <w:r w:rsidR="003D41C4">
        <w:t xml:space="preserve">although the programming cycle is </w:t>
      </w:r>
      <w:r w:rsidR="005D64B6">
        <w:t>often depicted as a sequence of tasks</w:t>
      </w:r>
      <w:r w:rsidR="00BD10E0">
        <w:t>, as in Figure 1</w:t>
      </w:r>
      <w:r w:rsidR="003D41C4">
        <w:t xml:space="preserve">, in reality </w:t>
      </w:r>
      <w:r w:rsidR="005D64B6">
        <w:t xml:space="preserve">information collection, </w:t>
      </w:r>
      <w:r w:rsidR="003D41C4">
        <w:t xml:space="preserve">planning and </w:t>
      </w:r>
      <w:r w:rsidR="005D64B6">
        <w:t xml:space="preserve">analysis, and implementation </w:t>
      </w:r>
      <w:r w:rsidR="004D6F7B">
        <w:t>must take place largely simultaneously</w:t>
      </w:r>
      <w:r w:rsidR="005D64B6">
        <w:t xml:space="preserve">. </w:t>
      </w:r>
      <w:r w:rsidR="007F61B0">
        <w:t>For example, c</w:t>
      </w:r>
      <w:r w:rsidR="005D64B6">
        <w:t xml:space="preserve">ontingency planning is informed by </w:t>
      </w:r>
      <w:r w:rsidR="007F61B0">
        <w:t xml:space="preserve">the </w:t>
      </w:r>
      <w:r w:rsidR="005D64B6">
        <w:t xml:space="preserve">baseline </w:t>
      </w:r>
      <w:r w:rsidR="007F61B0">
        <w:t>vulnerability assessment</w:t>
      </w:r>
      <w:r w:rsidR="005D64B6">
        <w:t xml:space="preserve">, but cannot wait until </w:t>
      </w:r>
      <w:r w:rsidR="007F61B0">
        <w:t xml:space="preserve">the </w:t>
      </w:r>
      <w:r w:rsidR="005D64B6">
        <w:t>baseline analysis is completed. The mitigation of shocks and rapid response likewise cannot wait until all needs are assessed. And so on.</w:t>
      </w:r>
      <w:r w:rsidR="0056393E">
        <w:t xml:space="preserve"> Finally, unanticipated, acute “shocks” may trigger a response analysis, but just as important is response analysis for predictable or chronic needs.</w:t>
      </w:r>
    </w:p>
    <w:p w14:paraId="6E1A5B22" w14:textId="77777777" w:rsidR="00BB10A2" w:rsidRDefault="00BB10A2" w:rsidP="005D64B6">
      <w:pPr>
        <w:pStyle w:val="ListParagraph"/>
      </w:pPr>
    </w:p>
    <w:p w14:paraId="6C61B977" w14:textId="7189A93A" w:rsidR="00413C53" w:rsidRDefault="00F07726" w:rsidP="00DF57D5">
      <w:pPr>
        <w:pStyle w:val="ListParagraph"/>
        <w:ind w:left="0"/>
        <w:rPr>
          <w:b/>
          <w:bCs/>
        </w:rPr>
      </w:pPr>
      <w:r>
        <w:rPr>
          <w:b/>
          <w:bCs/>
        </w:rPr>
        <w:t xml:space="preserve">Figure 1: </w:t>
      </w:r>
      <w:r w:rsidR="00D41708">
        <w:rPr>
          <w:b/>
          <w:bCs/>
        </w:rPr>
        <w:t>Situating response analysis within the programming cycle</w:t>
      </w:r>
    </w:p>
    <w:p w14:paraId="7C150496" w14:textId="0D718B8C" w:rsidR="00413C53" w:rsidRDefault="00413C53" w:rsidP="00DF57D5">
      <w:pPr>
        <w:pStyle w:val="ListParagraph"/>
        <w:ind w:left="0"/>
        <w:rPr>
          <w:b/>
          <w:bCs/>
        </w:rPr>
      </w:pPr>
      <w:r>
        <w:rPr>
          <w:b/>
          <w:bCs/>
          <w:noProof/>
          <w:lang w:eastAsia="en-US"/>
        </w:rPr>
        <w:drawing>
          <wp:inline distT="0" distB="0" distL="0" distR="0" wp14:anchorId="5803410A" wp14:editId="144C6CA5">
            <wp:extent cx="5486400" cy="1803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ing cycle.jpg"/>
                    <pic:cNvPicPr/>
                  </pic:nvPicPr>
                  <pic:blipFill>
                    <a:blip r:embed="rId24">
                      <a:extLst>
                        <a:ext uri="{28A0092B-C50C-407E-A947-70E740481C1C}">
                          <a14:useLocalDpi xmlns:a14="http://schemas.microsoft.com/office/drawing/2010/main" val="0"/>
                        </a:ext>
                      </a:extLst>
                    </a:blip>
                    <a:stretch>
                      <a:fillRect/>
                    </a:stretch>
                  </pic:blipFill>
                  <pic:spPr>
                    <a:xfrm>
                      <a:off x="0" y="0"/>
                      <a:ext cx="5486400" cy="1803400"/>
                    </a:xfrm>
                    <a:prstGeom prst="rect">
                      <a:avLst/>
                    </a:prstGeom>
                  </pic:spPr>
                </pic:pic>
              </a:graphicData>
            </a:graphic>
          </wp:inline>
        </w:drawing>
      </w:r>
    </w:p>
    <w:p w14:paraId="4D5DE028" w14:textId="77777777" w:rsidR="00413C53" w:rsidRDefault="00413C53" w:rsidP="00DF57D5">
      <w:pPr>
        <w:pStyle w:val="ListParagraph"/>
        <w:ind w:left="0"/>
        <w:rPr>
          <w:b/>
          <w:bCs/>
        </w:rPr>
      </w:pPr>
    </w:p>
    <w:p w14:paraId="604C2EF2" w14:textId="77777777" w:rsidR="00B01C44" w:rsidRDefault="00B01C44" w:rsidP="00B01C44">
      <w:r>
        <w:t xml:space="preserve">Second, response analysis and response planning, when thought of at all, are typically assumed to follow needs assessment. However, some response analysis can – indeed, must – precede emergency needs assessment in order to facilitate rapid decision making.  A complete response analysis cannot be finalized until needs are clear. But if analysis does not begin until needs are assessed, response delays can prove fatal. </w:t>
      </w:r>
    </w:p>
    <w:p w14:paraId="65B1D83F" w14:textId="77777777" w:rsidR="00B01C44" w:rsidRDefault="00B01C44" w:rsidP="00B01C44"/>
    <w:p w14:paraId="72C1DD06" w14:textId="77777777" w:rsidR="00B01C44" w:rsidRDefault="00B01C44" w:rsidP="00B01C44">
      <w:r>
        <w:t xml:space="preserve">Needs assessments often provide critical context. The best needs assessments identify livelihoods approaches, consumption and expenditure patterns, access to services, and which populations are relatively more at-risk. </w:t>
      </w:r>
      <w:r w:rsidRPr="001C4824">
        <w:t>Many needs assessments carefully consider gender</w:t>
      </w:r>
      <w:r>
        <w:t>, and</w:t>
      </w:r>
      <w:r w:rsidRPr="001C4824">
        <w:t xml:space="preserve"> may capture </w:t>
      </w:r>
      <w:r>
        <w:t xml:space="preserve">gender-disaggregated </w:t>
      </w:r>
      <w:r w:rsidRPr="001C4824">
        <w:t>differences in consumption and expenditure patterns as well as resource control</w:t>
      </w:r>
      <w:r>
        <w:t xml:space="preserve"> and decision-making powers</w:t>
      </w:r>
      <w:r w:rsidRPr="001C4824">
        <w:t>.</w:t>
      </w:r>
      <w:r>
        <w:t xml:space="preserve"> Response analysis too can mainstream gender by tracking market access and participation by gender. Understanding gender-based resource control and how it may differ by transfer type, volume, or distribution site should inform programming choices.</w:t>
      </w:r>
    </w:p>
    <w:p w14:paraId="6D4301B6" w14:textId="77777777" w:rsidR="00413C53" w:rsidRDefault="00413C53" w:rsidP="00DF57D5">
      <w:pPr>
        <w:pStyle w:val="ListParagraph"/>
        <w:ind w:left="0"/>
        <w:rPr>
          <w:b/>
          <w:bCs/>
        </w:rPr>
      </w:pPr>
    </w:p>
    <w:p w14:paraId="7B706137" w14:textId="77777777" w:rsidR="00D76590" w:rsidRDefault="00D76590" w:rsidP="00D76590">
      <w:r>
        <w:t xml:space="preserve">Third, </w:t>
      </w:r>
      <w:r w:rsidRPr="00477990">
        <w:t>monitoring, although depicted as one of a sequence of tasks, should pervade the program cycle. This includes the monitoring of early warning indicators, program inputs and expected impacts, as well as unintended impacts on markets or other subpopulations. Ongoing monitoring must identify the evolving impacts of program intervention choices so as to inform appropriate programming adjustments</w:t>
      </w:r>
      <w:r>
        <w:t>.</w:t>
      </w:r>
    </w:p>
    <w:p w14:paraId="214E623C" w14:textId="77777777" w:rsidR="00D76590" w:rsidRDefault="00D76590" w:rsidP="00D76590">
      <w:pPr>
        <w:pStyle w:val="ListParagraph"/>
      </w:pPr>
    </w:p>
    <w:p w14:paraId="10BDAB30" w14:textId="4EE3F9ED" w:rsidR="00413C53" w:rsidRPr="00D76590" w:rsidRDefault="00D76590" w:rsidP="00D76590">
      <w:r>
        <w:t>Fourth, although depicted in Figure 2</w:t>
      </w:r>
      <w:r w:rsidRPr="00AB6E89">
        <w:t xml:space="preserve"> as if triggered by a specific incident or shock at a particular point in time, many food crises do not have such time-specific causes. For example, chronic food insecurity situations typically have diffuse causality.   This temporal indeterminacy underscores the necessarily cyclical nature of the planning, analysis, implementation and monitoring process. </w:t>
      </w:r>
    </w:p>
    <w:p w14:paraId="575D069C" w14:textId="77777777" w:rsidR="00413C53" w:rsidRDefault="00413C53" w:rsidP="00DF57D5">
      <w:pPr>
        <w:pStyle w:val="ListParagraph"/>
        <w:ind w:left="0"/>
        <w:rPr>
          <w:b/>
          <w:bCs/>
        </w:rPr>
      </w:pPr>
    </w:p>
    <w:p w14:paraId="26D37507" w14:textId="77777777" w:rsidR="00413C53" w:rsidRDefault="00413C53" w:rsidP="00DF57D5">
      <w:pPr>
        <w:pStyle w:val="ListParagraph"/>
        <w:ind w:left="0"/>
        <w:rPr>
          <w:b/>
          <w:bCs/>
        </w:rPr>
      </w:pPr>
    </w:p>
    <w:p w14:paraId="30B5F006" w14:textId="77777777" w:rsidR="00413C53" w:rsidRDefault="00413C53" w:rsidP="00DF57D5">
      <w:pPr>
        <w:pStyle w:val="ListParagraph"/>
        <w:ind w:left="0"/>
        <w:rPr>
          <w:b/>
          <w:bCs/>
        </w:rPr>
      </w:pPr>
    </w:p>
    <w:p w14:paraId="4EC5D545" w14:textId="77777777" w:rsidR="00413C53" w:rsidRDefault="00413C53" w:rsidP="00DF57D5">
      <w:pPr>
        <w:pStyle w:val="ListParagraph"/>
        <w:ind w:left="0"/>
        <w:rPr>
          <w:b/>
          <w:bCs/>
        </w:rPr>
      </w:pPr>
    </w:p>
    <w:p w14:paraId="04270E15" w14:textId="69995078" w:rsidR="00BB10A2" w:rsidRDefault="00126E98" w:rsidP="00DF57D5">
      <w:pPr>
        <w:pStyle w:val="ListParagraph"/>
        <w:ind w:left="0"/>
      </w:pPr>
      <w:r w:rsidRPr="00126E98">
        <w:rPr>
          <w:b/>
          <w:bCs/>
        </w:rPr>
        <w:t>F</w:t>
      </w:r>
      <w:r w:rsidR="00F07726">
        <w:rPr>
          <w:b/>
          <w:bCs/>
        </w:rPr>
        <w:t>igure 2</w:t>
      </w:r>
      <w:r w:rsidR="00FE5F6F">
        <w:rPr>
          <w:b/>
          <w:bCs/>
        </w:rPr>
        <w:t>. The Programming Cycle:</w:t>
      </w:r>
      <w:r w:rsidRPr="00126E98">
        <w:br/>
      </w:r>
      <w:r w:rsidRPr="00126E98">
        <w:rPr>
          <w:b/>
          <w:bCs/>
        </w:rPr>
        <w:t>Information Gathering, Planning and Analysis, and Implementation</w:t>
      </w:r>
      <w:r w:rsidRPr="00126E98">
        <w:t xml:space="preserve"> </w:t>
      </w:r>
      <w:r w:rsidR="00BB10A2" w:rsidRPr="00BB10A2">
        <w:rPr>
          <w:noProof/>
          <w:lang w:eastAsia="en-US"/>
        </w:rPr>
        <w:drawing>
          <wp:inline distT="0" distB="0" distL="0" distR="0" wp14:anchorId="29889169" wp14:editId="773F44C7">
            <wp:extent cx="5486400" cy="3505200"/>
            <wp:effectExtent l="0" t="0" r="0" b="0"/>
            <wp:docPr id="5" name="P 2" descr="Programming cycle.pdf"/>
            <wp:cNvGraphicFramePr/>
            <a:graphic xmlns:a="http://schemas.openxmlformats.org/drawingml/2006/main">
              <a:graphicData uri="http://schemas.openxmlformats.org/drawingml/2006/picture">
                <pic:pic xmlns:pic="http://schemas.openxmlformats.org/drawingml/2006/picture">
                  <pic:nvPicPr>
                    <pic:cNvPr id="0" name="Content Placeholder 4" descr="Programming cycle.pdf"/>
                    <pic:cNvPicPr>
                      <a:picLocks noGrp="1" noChangeAspect="1"/>
                    </pic:cNvPicPr>
                  </pic:nvPicPr>
                  <pic:blipFill>
                    <a:blip r:embed="rId25" cstate="print"/>
                    <a:srcRect l="-9460" r="-9460"/>
                    <a:stretch>
                      <a:fillRect/>
                    </a:stretch>
                  </pic:blipFill>
                  <pic:spPr bwMode="auto">
                    <a:xfrm>
                      <a:off x="0" y="0"/>
                      <a:ext cx="5486400" cy="3505200"/>
                    </a:xfrm>
                    <a:prstGeom prst="rect">
                      <a:avLst/>
                    </a:prstGeom>
                    <a:noFill/>
                    <a:ln w="12700">
                      <a:noFill/>
                      <a:miter lim="800000"/>
                      <a:headEnd/>
                      <a:tailEnd/>
                    </a:ln>
                  </pic:spPr>
                </pic:pic>
              </a:graphicData>
            </a:graphic>
          </wp:inline>
        </w:drawing>
      </w:r>
    </w:p>
    <w:p w14:paraId="6953F04D" w14:textId="3F8B670F" w:rsidR="005D64B6" w:rsidRPr="00F07726" w:rsidRDefault="00E66828" w:rsidP="00E66828">
      <w:pPr>
        <w:pStyle w:val="ListParagraph"/>
        <w:ind w:left="0"/>
        <w:rPr>
          <w:i/>
        </w:rPr>
      </w:pPr>
      <w:r>
        <w:t xml:space="preserve">Source: Barrett et al. </w:t>
      </w:r>
      <w:r w:rsidR="004F1136">
        <w:t>2009</w:t>
      </w:r>
      <w:r w:rsidR="00F07726">
        <w:t>.</w:t>
      </w:r>
    </w:p>
    <w:p w14:paraId="50CDD653" w14:textId="77777777" w:rsidR="00E66828" w:rsidRDefault="00E66828" w:rsidP="001567AD"/>
    <w:p w14:paraId="74476DE0" w14:textId="77777777" w:rsidR="005D64B6" w:rsidRPr="00AB6E89" w:rsidRDefault="005D64B6" w:rsidP="00D76590"/>
    <w:p w14:paraId="734F3238" w14:textId="3BAA33E9" w:rsidR="005D64B6" w:rsidRDefault="00D76590" w:rsidP="001567AD">
      <w:r>
        <w:t>Finally, while Figure 2</w:t>
      </w:r>
      <w:r w:rsidR="005D64B6" w:rsidRPr="00AB6E89">
        <w:t xml:space="preserve"> specifically</w:t>
      </w:r>
      <w:r w:rsidR="005D64B6">
        <w:t xml:space="preserve"> represents an emergency programming cycle, a similar programming cycle can be readily adapted to address chronic food insecurity due to recurring household-level food access shortfalls.  For example, such a cycle would underpin social protection programs, designed to respond to chronic food insecurity and poverty. The primary differences between emergency and non-emergency programming are (i) the time frames within which analysts must operate, (ii) the greater possibility in emergency situations for significant disruption of conditions from those present during baseline assessments – e.g., floods or earthquakes necessitating emergency response may have also destroyed critical food marketing infrastructure –(iii) a less specific shock or causal factor in non-emergency situations and (iv) </w:t>
      </w:r>
      <w:r w:rsidR="00E37D32">
        <w:t xml:space="preserve">a greater focus in </w:t>
      </w:r>
      <w:r w:rsidR="005D64B6">
        <w:t>non-emergency programming on alleviating underlying causes of food insecurity.</w:t>
      </w:r>
    </w:p>
    <w:p w14:paraId="40467452" w14:textId="77777777" w:rsidR="005D64B6" w:rsidRDefault="005D64B6" w:rsidP="005D64B6">
      <w:pPr>
        <w:pStyle w:val="ListParagraph"/>
      </w:pPr>
    </w:p>
    <w:p w14:paraId="69E94FDE" w14:textId="77777777" w:rsidR="00E06D67" w:rsidRDefault="005D64B6" w:rsidP="001567AD">
      <w:r>
        <w:t xml:space="preserve">The last point especially underscores that response analysis must be informed by both good baseline analysis – in particular, knowledge of how local and regional food markets work and identification of reliable data sources – and early warning information – e.g., market indicators such as prices – and must gauge the requirements for a response </w:t>
      </w:r>
      <w:r w:rsidRPr="001567AD">
        <w:rPr>
          <w:i/>
        </w:rPr>
        <w:t>before</w:t>
      </w:r>
      <w:r>
        <w:t xml:space="preserve"> needs assessments are completed.  This simultaneity between response analysis and needs assessment reinforces the iterative nature of programming cycles; these are not linear, once-and-for-all decision-making processes.</w:t>
      </w:r>
    </w:p>
    <w:p w14:paraId="6A284453" w14:textId="1749A40D" w:rsidR="00752119" w:rsidRPr="006D4782" w:rsidRDefault="00752119" w:rsidP="00752119">
      <w:r>
        <w:t xml:space="preserve">Further, </w:t>
      </w:r>
      <w:r w:rsidRPr="006D4782">
        <w:t>MIFIRA does NOT address two crucial questions to which an analyst needs at least provisional answers before she commences MIFIRA:</w:t>
      </w:r>
    </w:p>
    <w:p w14:paraId="25D210A7" w14:textId="77777777" w:rsidR="00752119" w:rsidRPr="006D4782" w:rsidRDefault="00752119" w:rsidP="00752119">
      <w:pPr>
        <w:pStyle w:val="ListParagraph"/>
        <w:numPr>
          <w:ilvl w:val="0"/>
          <w:numId w:val="43"/>
        </w:numPr>
      </w:pPr>
      <w:r w:rsidRPr="006D4782">
        <w:t>Who is food insecure? How many people fall into that subpopulation and where are they?</w:t>
      </w:r>
    </w:p>
    <w:p w14:paraId="06D58ABF" w14:textId="77777777" w:rsidR="00752119" w:rsidRPr="006D4782" w:rsidRDefault="00752119" w:rsidP="00752119">
      <w:pPr>
        <w:pStyle w:val="ListParagraph"/>
        <w:numPr>
          <w:ilvl w:val="0"/>
          <w:numId w:val="43"/>
        </w:numPr>
      </w:pPr>
      <w:r w:rsidRPr="006D4782">
        <w:t>What does this subpopulation most need and how much of it do they need?  For example, if an effort is directed primarily at severely malnourished children who have nothing, they may need therapeutic foods enriched with micronutrients to replace a complete (missing) diet.  By contrast, if the intervention is in response to a disaster (e.g., earthquake, flooding) that has disrupted usual food marketing channels and livelihoods, there may not be a need for anything beyond modest volumes of basic commodities.</w:t>
      </w:r>
    </w:p>
    <w:p w14:paraId="49387E14" w14:textId="77777777" w:rsidR="00752119" w:rsidRPr="000351DF" w:rsidRDefault="00752119" w:rsidP="00752119">
      <w:r>
        <w:t>Within the programming cycle, t</w:t>
      </w:r>
      <w:r w:rsidRPr="006D4782">
        <w:t xml:space="preserve">hese two questions are the domain of needs assessment.  There is a massive operational literature on needs assessment.  Perhaps the best sources of information are the IFRC (e.g., Disaster Emergency Needs Assessment, June 2000, </w:t>
      </w:r>
      <w:hyperlink r:id="rId26" w:history="1">
        <w:r w:rsidRPr="006D4782">
          <w:t>http://www.ifrc.org/Docs/pubs/disasters/resources/corner/dp-manual/Disemnas.pdf</w:t>
        </w:r>
      </w:hyperlink>
      <w:r w:rsidRPr="006D4782">
        <w:t xml:space="preserve">) and, especially on food, the WFP’s Emergency Food Security Assessment Handbook (2009). </w:t>
      </w:r>
    </w:p>
    <w:p w14:paraId="57CCE2DE" w14:textId="77777777" w:rsidR="00752119" w:rsidRPr="007F519B" w:rsidRDefault="00752119" w:rsidP="001567AD"/>
    <w:p w14:paraId="36A9EEEF" w14:textId="77777777" w:rsidR="008D1D8B" w:rsidRDefault="008D1D8B"/>
    <w:p w14:paraId="643DEDDE" w14:textId="77777777" w:rsidR="00E22FF4" w:rsidRDefault="008D1D8B" w:rsidP="008D1D8B">
      <w:pPr>
        <w:rPr>
          <w:b/>
        </w:rPr>
      </w:pPr>
      <w:r w:rsidRPr="008D1D8B">
        <w:rPr>
          <w:b/>
        </w:rPr>
        <w:t>Why the form of transfers matter:</w:t>
      </w:r>
    </w:p>
    <w:p w14:paraId="16926D8C" w14:textId="6C6B4045" w:rsidR="008D1D8B" w:rsidRPr="00E22FF4" w:rsidRDefault="008D1D8B" w:rsidP="00E22FF4">
      <w:pPr>
        <w:rPr>
          <w:b/>
        </w:rPr>
      </w:pPr>
      <w:r w:rsidRPr="008D1D8B">
        <w:t>Getting the form of t</w:t>
      </w:r>
      <w:r w:rsidR="00E22FF4">
        <w:t>ransfer right helps livelihoods. Households</w:t>
      </w:r>
      <w:r w:rsidR="00E22FF4">
        <w:rPr>
          <w:b/>
        </w:rPr>
        <w:t xml:space="preserve"> </w:t>
      </w:r>
      <w:r w:rsidR="00E22FF4">
        <w:t xml:space="preserve">may </w:t>
      </w:r>
      <w:r w:rsidRPr="008D1D8B">
        <w:t>sell food aid - often at a deep discount - to purchase what they need</w:t>
      </w:r>
      <w:r w:rsidR="00E22FF4">
        <w:t xml:space="preserve">. </w:t>
      </w:r>
      <w:r w:rsidRPr="008D1D8B">
        <w:t>Yet, when markets are not functioning, cash is of limited value.</w:t>
      </w:r>
      <w:r w:rsidR="00E22FF4">
        <w:t xml:space="preserve"> Further, getting the transfer right can minimize harms to markets. Whether a market will be harmed or is as risk of being harmed depends on a </w:t>
      </w:r>
      <w:r w:rsidR="00E22FF4" w:rsidRPr="00D76F5F">
        <w:t>number of factors including: the t</w:t>
      </w:r>
      <w:r w:rsidRPr="00D76F5F">
        <w:t xml:space="preserve">otal amount </w:t>
      </w:r>
      <w:r w:rsidR="00051FD0" w:rsidRPr="00D76F5F">
        <w:t xml:space="preserve">of aid </w:t>
      </w:r>
      <w:r w:rsidRPr="00D76F5F">
        <w:t>distributed</w:t>
      </w:r>
      <w:r w:rsidR="00E22FF4" w:rsidRPr="00D76F5F">
        <w:t>; w</w:t>
      </w:r>
      <w:r w:rsidR="00051FD0" w:rsidRPr="00D76F5F">
        <w:t xml:space="preserve">hether </w:t>
      </w:r>
      <w:r w:rsidR="00E22FF4" w:rsidRPr="00D76F5F">
        <w:t>the transfers</w:t>
      </w:r>
      <w:r w:rsidR="00051FD0" w:rsidRPr="00D76F5F">
        <w:t xml:space="preserve"> m</w:t>
      </w:r>
      <w:r w:rsidR="00E22FF4" w:rsidRPr="00D76F5F">
        <w:t>eet</w:t>
      </w:r>
      <w:r w:rsidRPr="00D76F5F">
        <w:t xml:space="preserve"> household</w:t>
      </w:r>
      <w:r w:rsidR="00E37D32" w:rsidRPr="00D76F5F">
        <w:t xml:space="preserve"> needs</w:t>
      </w:r>
      <w:r w:rsidRPr="00D76F5F">
        <w:t xml:space="preserve"> </w:t>
      </w:r>
      <w:r w:rsidR="00051FD0" w:rsidRPr="00D76F5F">
        <w:t>/ household</w:t>
      </w:r>
      <w:r w:rsidRPr="00D76F5F">
        <w:t xml:space="preserve"> demand</w:t>
      </w:r>
      <w:r w:rsidR="00E22FF4" w:rsidRPr="00D76F5F">
        <w:t>; the season of deliveries; the type of transfer</w:t>
      </w:r>
      <w:r w:rsidR="00E22FF4">
        <w:t>; and the f</w:t>
      </w:r>
      <w:r w:rsidRPr="008D1D8B">
        <w:t>unctioning of local market</w:t>
      </w:r>
      <w:r w:rsidR="00E37D32">
        <w:t>(s)</w:t>
      </w:r>
    </w:p>
    <w:p w14:paraId="0A815307" w14:textId="77777777" w:rsidR="008D1D8B" w:rsidRDefault="008D1D8B"/>
    <w:p w14:paraId="1E5AEBBE" w14:textId="3FCC4BC0" w:rsidR="00157102" w:rsidRDefault="00414598">
      <w:r>
        <w:t>Below, we outline</w:t>
      </w:r>
      <w:r w:rsidR="00157102">
        <w:t xml:space="preserve"> the difference</w:t>
      </w:r>
      <w:r w:rsidR="00E37D32">
        <w:t>s</w:t>
      </w:r>
      <w:r w:rsidR="00157102">
        <w:t xml:space="preserve"> </w:t>
      </w:r>
      <w:r w:rsidR="00E37D32">
        <w:t xml:space="preserve">between </w:t>
      </w:r>
      <w:r w:rsidR="00157102">
        <w:t>different forms of transfers.</w:t>
      </w:r>
    </w:p>
    <w:p w14:paraId="21129458" w14:textId="77777777" w:rsidR="009E1DF0" w:rsidRDefault="009E1DF0"/>
    <w:p w14:paraId="60D1AFE9" w14:textId="77777777" w:rsidR="009E1DF0" w:rsidRPr="00AB6E89" w:rsidRDefault="009E1DF0" w:rsidP="00AB6E89">
      <w:pPr>
        <w:rPr>
          <w:b/>
        </w:rPr>
      </w:pPr>
      <w:r w:rsidRPr="00AB6E89">
        <w:rPr>
          <w:b/>
        </w:rPr>
        <w:t>Why cash? Why not cash? … Why food? Why not food?</w:t>
      </w:r>
    </w:p>
    <w:p w14:paraId="67566378" w14:textId="77777777" w:rsidR="009E1DF0" w:rsidRDefault="009E1DF0" w:rsidP="009E1DF0">
      <w:pPr>
        <w:rPr>
          <w:b/>
        </w:rPr>
      </w:pPr>
    </w:p>
    <w:tbl>
      <w:tblPr>
        <w:tblW w:w="8568" w:type="dxa"/>
        <w:tblCellMar>
          <w:left w:w="0" w:type="dxa"/>
          <w:right w:w="0" w:type="dxa"/>
        </w:tblCellMar>
        <w:tblLook w:val="0000" w:firstRow="0" w:lastRow="0" w:firstColumn="0" w:lastColumn="0" w:noHBand="0" w:noVBand="0"/>
      </w:tblPr>
      <w:tblGrid>
        <w:gridCol w:w="4248"/>
        <w:gridCol w:w="4230"/>
        <w:gridCol w:w="90"/>
      </w:tblGrid>
      <w:tr w:rsidR="009E1DF0" w:rsidRPr="005A6D16" w14:paraId="4A1BF18A" w14:textId="77777777">
        <w:trPr>
          <w:trHeight w:val="512"/>
        </w:trPr>
        <w:tc>
          <w:tcPr>
            <w:tcW w:w="4248" w:type="dxa"/>
            <w:tcBorders>
              <w:top w:val="single" w:sz="24" w:space="0" w:color="BECAFF"/>
              <w:left w:val="single" w:sz="8" w:space="0" w:color="BECAFF"/>
              <w:bottom w:val="single" w:sz="8" w:space="0" w:color="BECAFF"/>
              <w:right w:val="single" w:sz="8" w:space="0" w:color="BECAFF"/>
            </w:tcBorders>
            <w:shd w:val="clear" w:color="auto" w:fill="E7F3F4"/>
            <w:tcMar>
              <w:top w:w="13" w:type="dxa"/>
              <w:left w:w="108" w:type="dxa"/>
              <w:bottom w:w="0" w:type="dxa"/>
              <w:right w:w="108" w:type="dxa"/>
            </w:tcMar>
          </w:tcPr>
          <w:p w14:paraId="7832ED06" w14:textId="77777777" w:rsidR="009E1DF0" w:rsidRPr="005A6D16" w:rsidRDefault="009E1DF0" w:rsidP="005A6D16">
            <w:pPr>
              <w:rPr>
                <w:b/>
                <w:sz w:val="20"/>
              </w:rPr>
            </w:pPr>
            <w:r w:rsidRPr="005A6D16">
              <w:rPr>
                <w:b/>
                <w:bCs/>
                <w:sz w:val="20"/>
              </w:rPr>
              <w:t>Food transfers generally recommended when:</w:t>
            </w:r>
          </w:p>
        </w:tc>
        <w:tc>
          <w:tcPr>
            <w:tcW w:w="4320" w:type="dxa"/>
            <w:gridSpan w:val="2"/>
            <w:tcBorders>
              <w:top w:val="single" w:sz="24" w:space="0" w:color="BECAFF"/>
              <w:left w:val="single" w:sz="8" w:space="0" w:color="BECAFF"/>
              <w:bottom w:val="single" w:sz="8" w:space="0" w:color="BECAFF"/>
              <w:right w:val="single" w:sz="8" w:space="0" w:color="BECAFF"/>
            </w:tcBorders>
            <w:shd w:val="clear" w:color="auto" w:fill="E7F3F4"/>
            <w:tcMar>
              <w:top w:w="13" w:type="dxa"/>
              <w:left w:w="108" w:type="dxa"/>
              <w:bottom w:w="0" w:type="dxa"/>
              <w:right w:w="108" w:type="dxa"/>
            </w:tcMar>
          </w:tcPr>
          <w:p w14:paraId="54BBF7BD" w14:textId="77777777" w:rsidR="009E1DF0" w:rsidRPr="005A6D16" w:rsidRDefault="009E1DF0" w:rsidP="007E4130">
            <w:pPr>
              <w:ind w:right="72"/>
              <w:rPr>
                <w:b/>
                <w:sz w:val="20"/>
              </w:rPr>
            </w:pPr>
            <w:r>
              <w:rPr>
                <w:b/>
                <w:bCs/>
                <w:sz w:val="20"/>
              </w:rPr>
              <w:t>Cash transfers generally recom</w:t>
            </w:r>
            <w:r w:rsidRPr="005A6D16">
              <w:rPr>
                <w:b/>
                <w:bCs/>
                <w:sz w:val="20"/>
              </w:rPr>
              <w:t>mended when:</w:t>
            </w:r>
          </w:p>
        </w:tc>
      </w:tr>
      <w:tr w:rsidR="009E1DF0" w:rsidRPr="005A6D16" w14:paraId="47CB18D1" w14:textId="77777777">
        <w:trPr>
          <w:gridAfter w:val="1"/>
          <w:wAfter w:w="90" w:type="dxa"/>
          <w:trHeight w:val="3027"/>
        </w:trPr>
        <w:tc>
          <w:tcPr>
            <w:tcW w:w="4248" w:type="dxa"/>
            <w:tcBorders>
              <w:top w:val="single" w:sz="8" w:space="0" w:color="BECAFF"/>
              <w:left w:val="single" w:sz="8" w:space="0" w:color="BECAFF"/>
              <w:bottom w:val="single" w:sz="8" w:space="0" w:color="BECAFF"/>
              <w:right w:val="single" w:sz="8" w:space="0" w:color="BECAFF"/>
            </w:tcBorders>
            <w:shd w:val="clear" w:color="auto" w:fill="F3F9FA"/>
            <w:tcMar>
              <w:top w:w="13" w:type="dxa"/>
              <w:left w:w="108" w:type="dxa"/>
              <w:bottom w:w="0" w:type="dxa"/>
              <w:right w:w="108" w:type="dxa"/>
            </w:tcMar>
          </w:tcPr>
          <w:p w14:paraId="2D0E19D8" w14:textId="77777777" w:rsidR="009E1DF0" w:rsidRPr="005A6D16" w:rsidRDefault="009E1DF0" w:rsidP="005A6D16">
            <w:pPr>
              <w:rPr>
                <w:sz w:val="20"/>
              </w:rPr>
            </w:pPr>
            <w:r w:rsidRPr="005A6D16">
              <w:rPr>
                <w:sz w:val="20"/>
              </w:rPr>
              <w:t xml:space="preserve">1.Food intake is prioritized for nutritional purposes (including targeted feeding and micronutrient objectives) </w:t>
            </w:r>
          </w:p>
          <w:p w14:paraId="11023DBA" w14:textId="77777777" w:rsidR="009E1DF0" w:rsidRPr="005A6D16" w:rsidRDefault="009E1DF0" w:rsidP="005A6D16">
            <w:pPr>
              <w:rPr>
                <w:sz w:val="20"/>
              </w:rPr>
            </w:pPr>
            <w:r w:rsidRPr="005A6D16">
              <w:rPr>
                <w:sz w:val="20"/>
              </w:rPr>
              <w:t>2.Markets do not function well</w:t>
            </w:r>
          </w:p>
          <w:p w14:paraId="1E06BC46" w14:textId="77777777" w:rsidR="009E1DF0" w:rsidRPr="005A6D16" w:rsidRDefault="009E1DF0" w:rsidP="005A6D16">
            <w:pPr>
              <w:rPr>
                <w:sz w:val="20"/>
              </w:rPr>
            </w:pPr>
            <w:r w:rsidRPr="005A6D16">
              <w:rPr>
                <w:sz w:val="20"/>
              </w:rPr>
              <w:t>3.Markets are distant, or during the lean season</w:t>
            </w:r>
          </w:p>
          <w:p w14:paraId="037189A6" w14:textId="77777777" w:rsidR="009E1DF0" w:rsidRPr="005A6D16" w:rsidRDefault="009E1DF0" w:rsidP="005A6D16">
            <w:pPr>
              <w:rPr>
                <w:sz w:val="20"/>
              </w:rPr>
            </w:pPr>
            <w:r w:rsidRPr="005A6D16">
              <w:rPr>
                <w:sz w:val="20"/>
              </w:rPr>
              <w:t>4.Inflationary risks are a significant concern</w:t>
            </w:r>
          </w:p>
          <w:p w14:paraId="35BA4BF8" w14:textId="77777777" w:rsidR="009E1DF0" w:rsidRPr="005A6D16" w:rsidRDefault="009E1DF0" w:rsidP="005A6D16">
            <w:pPr>
              <w:rPr>
                <w:sz w:val="20"/>
              </w:rPr>
            </w:pPr>
            <w:r w:rsidRPr="005A6D16">
              <w:rPr>
                <w:sz w:val="20"/>
              </w:rPr>
              <w:t>5.Security conditions permit (i.e., food commodities are highly visible)</w:t>
            </w:r>
          </w:p>
          <w:p w14:paraId="47013871" w14:textId="77777777" w:rsidR="009E1DF0" w:rsidRPr="005A6D16" w:rsidRDefault="009E1DF0" w:rsidP="005A6D16">
            <w:pPr>
              <w:rPr>
                <w:sz w:val="20"/>
              </w:rPr>
            </w:pPr>
            <w:r w:rsidRPr="005A6D16">
              <w:rPr>
                <w:sz w:val="20"/>
              </w:rPr>
              <w:t>6.Cash transfer systems do not exist</w:t>
            </w:r>
          </w:p>
          <w:p w14:paraId="14DF2E9B" w14:textId="77777777" w:rsidR="009E1DF0" w:rsidRPr="005A6D16" w:rsidRDefault="009E1DF0" w:rsidP="005A6D16">
            <w:pPr>
              <w:rPr>
                <w:b/>
                <w:sz w:val="20"/>
              </w:rPr>
            </w:pPr>
            <w:r w:rsidRPr="005A6D16">
              <w:rPr>
                <w:sz w:val="20"/>
              </w:rPr>
              <w:t>7.Cost savings is sought through individual / household targeting</w:t>
            </w:r>
            <w:r w:rsidRPr="005A6D16">
              <w:rPr>
                <w:b/>
                <w:sz w:val="20"/>
              </w:rPr>
              <w:t xml:space="preserve"> </w:t>
            </w:r>
          </w:p>
        </w:tc>
        <w:tc>
          <w:tcPr>
            <w:tcW w:w="4230" w:type="dxa"/>
            <w:tcBorders>
              <w:top w:val="single" w:sz="8" w:space="0" w:color="BECAFF"/>
              <w:left w:val="single" w:sz="8" w:space="0" w:color="BECAFF"/>
              <w:bottom w:val="single" w:sz="8" w:space="0" w:color="BECAFF"/>
              <w:right w:val="single" w:sz="8" w:space="0" w:color="BECAFF"/>
            </w:tcBorders>
            <w:shd w:val="clear" w:color="auto" w:fill="F3F9FA"/>
            <w:tcMar>
              <w:top w:w="13" w:type="dxa"/>
              <w:left w:w="108" w:type="dxa"/>
              <w:bottom w:w="0" w:type="dxa"/>
              <w:right w:w="108" w:type="dxa"/>
            </w:tcMar>
          </w:tcPr>
          <w:p w14:paraId="510BA4D5" w14:textId="77777777" w:rsidR="009E1DF0" w:rsidRPr="005A6D16" w:rsidRDefault="009E1DF0" w:rsidP="005A6D16">
            <w:pPr>
              <w:ind w:right="162"/>
              <w:rPr>
                <w:sz w:val="20"/>
              </w:rPr>
            </w:pPr>
            <w:r w:rsidRPr="005A6D16">
              <w:rPr>
                <w:sz w:val="20"/>
              </w:rPr>
              <w:t>1.Overall humanitarian need, as well as choice and flexibility are prioritized</w:t>
            </w:r>
          </w:p>
          <w:p w14:paraId="46BF65E1" w14:textId="77777777" w:rsidR="009E1DF0" w:rsidRPr="005A6D16" w:rsidRDefault="009E1DF0" w:rsidP="005A6D16">
            <w:pPr>
              <w:ind w:right="162"/>
              <w:rPr>
                <w:sz w:val="20"/>
              </w:rPr>
            </w:pPr>
            <w:r w:rsidRPr="005A6D16">
              <w:rPr>
                <w:sz w:val="20"/>
              </w:rPr>
              <w:t>2.Markets function well</w:t>
            </w:r>
          </w:p>
          <w:p w14:paraId="37B45529" w14:textId="77777777" w:rsidR="009E1DF0" w:rsidRPr="005A6D16" w:rsidRDefault="009E1DF0" w:rsidP="005A6D16">
            <w:pPr>
              <w:ind w:right="162"/>
              <w:rPr>
                <w:sz w:val="20"/>
              </w:rPr>
            </w:pPr>
            <w:r w:rsidRPr="005A6D16">
              <w:rPr>
                <w:sz w:val="20"/>
              </w:rPr>
              <w:t>3.Markets are nearby, or during the peak, post-harvest season</w:t>
            </w:r>
          </w:p>
          <w:p w14:paraId="1C33D95E" w14:textId="77777777" w:rsidR="009E1DF0" w:rsidRPr="005A6D16" w:rsidRDefault="009E1DF0" w:rsidP="005A6D16">
            <w:pPr>
              <w:ind w:right="162"/>
              <w:rPr>
                <w:sz w:val="20"/>
              </w:rPr>
            </w:pPr>
            <w:r w:rsidRPr="005A6D16">
              <w:rPr>
                <w:sz w:val="20"/>
              </w:rPr>
              <w:t>4.Production disincentives due to food aid delivery are a significant concern</w:t>
            </w:r>
          </w:p>
          <w:p w14:paraId="0C26ABF7" w14:textId="77777777" w:rsidR="009E1DF0" w:rsidRPr="005A6D16" w:rsidRDefault="009E1DF0" w:rsidP="005A6D16">
            <w:pPr>
              <w:ind w:right="162"/>
              <w:rPr>
                <w:sz w:val="20"/>
              </w:rPr>
            </w:pPr>
            <w:r w:rsidRPr="005A6D16">
              <w:rPr>
                <w:sz w:val="20"/>
              </w:rPr>
              <w:t>5.Security conditions permit (i.e., cash is less visible but offers greater incentive for theft)</w:t>
            </w:r>
          </w:p>
          <w:p w14:paraId="429FDAC7" w14:textId="77777777" w:rsidR="009E1DF0" w:rsidRPr="005A6D16" w:rsidRDefault="009E1DF0" w:rsidP="005A6D16">
            <w:pPr>
              <w:ind w:right="162"/>
              <w:rPr>
                <w:sz w:val="20"/>
              </w:rPr>
            </w:pPr>
            <w:r w:rsidRPr="005A6D16">
              <w:rPr>
                <w:sz w:val="20"/>
              </w:rPr>
              <w:t>6.Cash transfer systems exist</w:t>
            </w:r>
          </w:p>
          <w:p w14:paraId="0998D90A" w14:textId="77777777" w:rsidR="009E1DF0" w:rsidRPr="005A6D16" w:rsidRDefault="009E1DF0" w:rsidP="005A6D16">
            <w:pPr>
              <w:ind w:right="162"/>
              <w:rPr>
                <w:b/>
                <w:sz w:val="20"/>
              </w:rPr>
            </w:pPr>
            <w:r w:rsidRPr="005A6D16">
              <w:rPr>
                <w:sz w:val="20"/>
              </w:rPr>
              <w:t>7.Cost saving is sought through lower logistical and management overhead</w:t>
            </w:r>
          </w:p>
        </w:tc>
      </w:tr>
    </w:tbl>
    <w:p w14:paraId="5583EF01" w14:textId="72567FF3" w:rsidR="009E1DF0" w:rsidRDefault="00DA4D6C" w:rsidP="009E1DF0">
      <w:pPr>
        <w:rPr>
          <w:i/>
        </w:rPr>
      </w:pPr>
      <w:r>
        <w:t xml:space="preserve">Source: Barrett </w:t>
      </w:r>
      <w:r w:rsidR="00D76F5F">
        <w:t>et al. 2009.</w:t>
      </w:r>
    </w:p>
    <w:p w14:paraId="4174D47A" w14:textId="77777777" w:rsidR="00DA4D6C" w:rsidRPr="00D76F5F" w:rsidRDefault="00DA4D6C" w:rsidP="009E1DF0">
      <w:pPr>
        <w:rPr>
          <w:i/>
        </w:rPr>
      </w:pPr>
    </w:p>
    <w:p w14:paraId="3A08215D" w14:textId="11437F87" w:rsidR="009E1DF0" w:rsidRDefault="00AB6E89" w:rsidP="00AB6E89">
      <w:pPr>
        <w:rPr>
          <w:b/>
        </w:rPr>
      </w:pPr>
      <w:r>
        <w:rPr>
          <w:b/>
        </w:rPr>
        <w:t>Why transoceanic food aid? Why</w:t>
      </w:r>
      <w:r w:rsidR="009E1DF0" w:rsidRPr="00AB6E89">
        <w:rPr>
          <w:b/>
        </w:rPr>
        <w:t xml:space="preserve"> locally and regionally procured food?</w:t>
      </w:r>
    </w:p>
    <w:p w14:paraId="1E830596" w14:textId="2CEC8629" w:rsidR="00104D4F" w:rsidRPr="00104D4F" w:rsidRDefault="00104D4F" w:rsidP="00AB6E89">
      <w:r w:rsidRPr="00104D4F">
        <w:t>Locally procured foo</w:t>
      </w:r>
      <w:r>
        <w:t>ds are bought in the country where distributions will occur, while regionally procured</w:t>
      </w:r>
      <w:r w:rsidR="003603A0">
        <w:t xml:space="preserve"> foods are bought in a neighboring country or in a country within the same continent. </w:t>
      </w:r>
    </w:p>
    <w:p w14:paraId="49A6395A" w14:textId="77777777" w:rsidR="00DA13F7" w:rsidRDefault="00DA13F7" w:rsidP="00D76F5F"/>
    <w:tbl>
      <w:tblPr>
        <w:tblStyle w:val="TableGrid"/>
        <w:tblW w:w="0" w:type="auto"/>
        <w:tblLook w:val="04A0" w:firstRow="1" w:lastRow="0" w:firstColumn="1" w:lastColumn="0" w:noHBand="0" w:noVBand="1"/>
      </w:tblPr>
      <w:tblGrid>
        <w:gridCol w:w="4428"/>
        <w:gridCol w:w="4428"/>
      </w:tblGrid>
      <w:tr w:rsidR="00DA13F7" w14:paraId="5F591EF5" w14:textId="77777777" w:rsidTr="00DA13F7">
        <w:tc>
          <w:tcPr>
            <w:tcW w:w="4428" w:type="dxa"/>
          </w:tcPr>
          <w:p w14:paraId="7621EF81" w14:textId="2B1BC01C" w:rsidR="00DA13F7" w:rsidRPr="00E248D2" w:rsidRDefault="00DA13F7" w:rsidP="00D76F5F">
            <w:pPr>
              <w:rPr>
                <w:b/>
              </w:rPr>
            </w:pPr>
            <w:r w:rsidRPr="00E248D2">
              <w:rPr>
                <w:b/>
              </w:rPr>
              <w:t>Locally or regionally procured food generally recommended when…</w:t>
            </w:r>
          </w:p>
        </w:tc>
        <w:tc>
          <w:tcPr>
            <w:tcW w:w="4428" w:type="dxa"/>
          </w:tcPr>
          <w:p w14:paraId="0EEE199C" w14:textId="692F5E76" w:rsidR="00DA13F7" w:rsidRPr="00E248D2" w:rsidRDefault="00DA13F7" w:rsidP="00D76F5F">
            <w:pPr>
              <w:rPr>
                <w:b/>
              </w:rPr>
            </w:pPr>
            <w:r w:rsidRPr="00E248D2">
              <w:rPr>
                <w:b/>
              </w:rPr>
              <w:t>Transoceanically procured food generally recommended when…</w:t>
            </w:r>
          </w:p>
        </w:tc>
      </w:tr>
      <w:tr w:rsidR="00DA13F7" w14:paraId="4CD81DD7" w14:textId="77777777" w:rsidTr="00DA13F7">
        <w:tc>
          <w:tcPr>
            <w:tcW w:w="4428" w:type="dxa"/>
          </w:tcPr>
          <w:p w14:paraId="79057A10" w14:textId="732F0D6C" w:rsidR="00DA13F7" w:rsidRDefault="00E248D2" w:rsidP="00D76F5F">
            <w:r>
              <w:t>Time is of the essence. LRP tends to arrive faster than transoceanic food aid</w:t>
            </w:r>
          </w:p>
        </w:tc>
        <w:tc>
          <w:tcPr>
            <w:tcW w:w="4428" w:type="dxa"/>
          </w:tcPr>
          <w:p w14:paraId="6228A894" w14:textId="6E9D97F9" w:rsidR="00DA13F7" w:rsidRDefault="00AD07F2" w:rsidP="00D76F5F">
            <w:r>
              <w:t>Concern that procuring food will cause inflationary pressure in source markets</w:t>
            </w:r>
          </w:p>
        </w:tc>
      </w:tr>
      <w:tr w:rsidR="00DA13F7" w14:paraId="35FB2827" w14:textId="77777777" w:rsidTr="00DA13F7">
        <w:tc>
          <w:tcPr>
            <w:tcW w:w="4428" w:type="dxa"/>
          </w:tcPr>
          <w:p w14:paraId="19FDA669" w14:textId="0E87D9BD" w:rsidR="00DA13F7" w:rsidRDefault="00287281" w:rsidP="00287281">
            <w:r>
              <w:t>May be able to time deliveries to</w:t>
            </w:r>
            <w:r w:rsidR="00637E13">
              <w:t xml:space="preserve"> coincide with lean season, minimizing production disincentives</w:t>
            </w:r>
          </w:p>
        </w:tc>
        <w:tc>
          <w:tcPr>
            <w:tcW w:w="4428" w:type="dxa"/>
          </w:tcPr>
          <w:p w14:paraId="32E5D3CD" w14:textId="2EDC2764" w:rsidR="00DA13F7" w:rsidRDefault="00AD07F2" w:rsidP="00D76F5F">
            <w:r>
              <w:t>Concern that traders will default on tenders or will drive up prices in anticipation of agency purchases</w:t>
            </w:r>
          </w:p>
        </w:tc>
      </w:tr>
      <w:tr w:rsidR="00DA13F7" w14:paraId="32881BBB" w14:textId="77777777" w:rsidTr="00DA13F7">
        <w:tc>
          <w:tcPr>
            <w:tcW w:w="4428" w:type="dxa"/>
          </w:tcPr>
          <w:p w14:paraId="7F404159" w14:textId="7F7A48B0" w:rsidR="00DA13F7" w:rsidRDefault="00637E13" w:rsidP="00D76F5F">
            <w:r>
              <w:t>Potential for cost savings, especially for bulkier products, such as grains and pulses</w:t>
            </w:r>
          </w:p>
        </w:tc>
        <w:tc>
          <w:tcPr>
            <w:tcW w:w="4428" w:type="dxa"/>
          </w:tcPr>
          <w:p w14:paraId="5F17E3B9" w14:textId="4EDFEB96" w:rsidR="00DA13F7" w:rsidRDefault="00AD07F2" w:rsidP="00D76F5F">
            <w:r>
              <w:t>Concern that quality and safety standards cannot be met with LRP food</w:t>
            </w:r>
          </w:p>
        </w:tc>
      </w:tr>
    </w:tbl>
    <w:p w14:paraId="3BD64BBE" w14:textId="77777777" w:rsidR="00D76F5F" w:rsidRDefault="00D76F5F" w:rsidP="00D76F5F">
      <w:pPr>
        <w:rPr>
          <w:i/>
        </w:rPr>
      </w:pPr>
      <w:r>
        <w:t>Source: Barrett et al. 2009.</w:t>
      </w:r>
    </w:p>
    <w:p w14:paraId="1E634F11" w14:textId="77777777" w:rsidR="00DA4D6C" w:rsidRDefault="00DA4D6C" w:rsidP="009E1DF0"/>
    <w:p w14:paraId="174CECCE" w14:textId="7D256995" w:rsidR="00FF4787" w:rsidRPr="00A63FDE" w:rsidRDefault="00FF4787" w:rsidP="008A0564">
      <w:pPr>
        <w:pStyle w:val="TOC2"/>
      </w:pPr>
      <w:r w:rsidRPr="00A63FDE">
        <w:t>Food Insecurity: Identifying responses</w:t>
      </w:r>
    </w:p>
    <w:p w14:paraId="269AB909" w14:textId="1052B768" w:rsidR="00572660" w:rsidRPr="00A63FDE" w:rsidRDefault="001A27D4" w:rsidP="008A0564">
      <w:pPr>
        <w:pStyle w:val="TOC2"/>
      </w:pPr>
      <w:r w:rsidRPr="00A63FDE">
        <w:t>Each transfer choice has</w:t>
      </w:r>
      <w:r w:rsidR="00572660" w:rsidRPr="00A63FDE">
        <w:t xml:space="preserve"> benefits and costs</w:t>
      </w:r>
      <w:r w:rsidRPr="00A63FDE">
        <w:t xml:space="preserve"> and there</w:t>
      </w:r>
      <w:r w:rsidR="00572660" w:rsidRPr="00A63FDE">
        <w:t xml:space="preserve"> are tradeoffs across each transfer. Many of the costs and benefits of the various transfer choices are contingent upon markets. Understanding markets’ roles in addressing food security can lead to designing better social transfer schemes in programs. There are, however, important non market considerations as well.</w:t>
      </w:r>
    </w:p>
    <w:p w14:paraId="58AE024A" w14:textId="77777777" w:rsidR="00572660" w:rsidRPr="00A63FDE" w:rsidRDefault="00572660" w:rsidP="009E1DF0"/>
    <w:p w14:paraId="62DCF56C" w14:textId="77777777" w:rsidR="009E1DF0" w:rsidRDefault="009E1DF0" w:rsidP="009E1DF0">
      <w:r>
        <w:t xml:space="preserve">Market analysis is the common denominator to most of the considerations raised, both by the literature that explores the choice between cash (or cash-equivalent) and food transfers, and by the literature on local and regional purchases of food aid.  One needs to know how well </w:t>
      </w:r>
      <w:r w:rsidR="00091D31">
        <w:t xml:space="preserve">the </w:t>
      </w:r>
      <w:r>
        <w:t xml:space="preserve">intended beneficiaries interact with local markets and </w:t>
      </w:r>
      <w:r w:rsidR="00091D31">
        <w:t xml:space="preserve">how well </w:t>
      </w:r>
      <w:r>
        <w:t>those markets respond to external interventions.</w:t>
      </w:r>
    </w:p>
    <w:p w14:paraId="51C01D8E" w14:textId="77777777" w:rsidR="001C5A3A" w:rsidRDefault="001C5A3A" w:rsidP="001C5A3A"/>
    <w:p w14:paraId="523AAAF3" w14:textId="50C24F6A" w:rsidR="001C5A3A" w:rsidRDefault="00091D31" w:rsidP="001C5A3A">
      <w:r>
        <w:t xml:space="preserve">The following </w:t>
      </w:r>
      <w:r w:rsidR="001C5A3A">
        <w:t xml:space="preserve">are </w:t>
      </w:r>
      <w:r>
        <w:t xml:space="preserve">some </w:t>
      </w:r>
      <w:r w:rsidR="001C5A3A">
        <w:t xml:space="preserve">important non-market factors </w:t>
      </w:r>
      <w:r>
        <w:t>that can also impact a</w:t>
      </w:r>
      <w:r w:rsidR="001C5A3A">
        <w:t xml:space="preserve"> response analysis. We do not cover them here, as </w:t>
      </w:r>
      <w:r>
        <w:t xml:space="preserve">incorporating them into a response analysis </w:t>
      </w:r>
      <w:r w:rsidR="00A3377B">
        <w:t>require</w:t>
      </w:r>
      <w:r>
        <w:t>s</w:t>
      </w:r>
      <w:r w:rsidR="00A3377B">
        <w:t xml:space="preserve"> specialized knowledge (e.g., assessing food safety) or</w:t>
      </w:r>
      <w:r w:rsidR="001C5A3A">
        <w:t xml:space="preserve"> depend</w:t>
      </w:r>
      <w:r>
        <w:t>s</w:t>
      </w:r>
      <w:r w:rsidR="001C5A3A">
        <w:t xml:space="preserve"> on NGO objectives and resources.</w:t>
      </w:r>
    </w:p>
    <w:p w14:paraId="2FBD085E" w14:textId="77777777" w:rsidR="001C5A3A" w:rsidRPr="001C5A3A" w:rsidRDefault="001C5A3A" w:rsidP="001C5A3A">
      <w:pPr>
        <w:pStyle w:val="ListParagraph"/>
        <w:numPr>
          <w:ilvl w:val="0"/>
          <w:numId w:val="31"/>
        </w:numPr>
      </w:pPr>
      <w:r w:rsidRPr="001C5A3A">
        <w:t>Security and external diversion of resources</w:t>
      </w:r>
    </w:p>
    <w:p w14:paraId="01F6BAB2" w14:textId="77777777" w:rsidR="001C5A3A" w:rsidRPr="001C5A3A" w:rsidRDefault="001C5A3A" w:rsidP="001C5A3A">
      <w:pPr>
        <w:pStyle w:val="ListParagraph"/>
        <w:numPr>
          <w:ilvl w:val="0"/>
          <w:numId w:val="31"/>
        </w:numPr>
      </w:pPr>
      <w:r w:rsidRPr="001C5A3A">
        <w:t>Gender and anti-social spending</w:t>
      </w:r>
    </w:p>
    <w:p w14:paraId="7164E925" w14:textId="77777777" w:rsidR="001C5A3A" w:rsidRPr="001C5A3A" w:rsidRDefault="001C5A3A" w:rsidP="001C5A3A">
      <w:pPr>
        <w:pStyle w:val="ListParagraph"/>
        <w:numPr>
          <w:ilvl w:val="0"/>
          <w:numId w:val="31"/>
        </w:numPr>
      </w:pPr>
      <w:r w:rsidRPr="001C5A3A">
        <w:t xml:space="preserve">Malnutrition and micronutrient deficiencies </w:t>
      </w:r>
    </w:p>
    <w:p w14:paraId="47513045" w14:textId="77777777" w:rsidR="001C5A3A" w:rsidRPr="001C5A3A" w:rsidRDefault="001C5A3A" w:rsidP="001C5A3A">
      <w:pPr>
        <w:pStyle w:val="ListParagraph"/>
        <w:numPr>
          <w:ilvl w:val="0"/>
          <w:numId w:val="31"/>
        </w:numPr>
      </w:pPr>
      <w:r w:rsidRPr="001C5A3A">
        <w:t>Assessing food safety and related standards to ensure quality</w:t>
      </w:r>
    </w:p>
    <w:p w14:paraId="10B5B357" w14:textId="77777777" w:rsidR="001C5A3A" w:rsidRPr="001C5A3A" w:rsidRDefault="001C5A3A" w:rsidP="001C5A3A">
      <w:pPr>
        <w:pStyle w:val="ListParagraph"/>
        <w:numPr>
          <w:ilvl w:val="0"/>
          <w:numId w:val="31"/>
        </w:numPr>
      </w:pPr>
      <w:r w:rsidRPr="001C5A3A">
        <w:t>Capacity of agency country offices to implement different kinds of programs</w:t>
      </w:r>
    </w:p>
    <w:p w14:paraId="4ACE0575" w14:textId="77777777" w:rsidR="007A7EF8" w:rsidRDefault="007A7EF8" w:rsidP="007A7EF8"/>
    <w:p w14:paraId="5CB447DF" w14:textId="77777777" w:rsidR="007A7EF8" w:rsidRPr="007A7EF8" w:rsidRDefault="007A7EF8" w:rsidP="007A7EF8"/>
    <w:p w14:paraId="353AE12D" w14:textId="77777777" w:rsidR="00136FAA" w:rsidRPr="0013367A" w:rsidRDefault="00136FAA" w:rsidP="00136FAA">
      <w:pPr>
        <w:rPr>
          <w:b/>
        </w:rPr>
      </w:pPr>
      <w:r w:rsidRPr="0013367A">
        <w:rPr>
          <w:b/>
        </w:rPr>
        <w:t>Defining markets</w:t>
      </w:r>
    </w:p>
    <w:p w14:paraId="2EDD4DB2" w14:textId="3CD61043" w:rsidR="00136FAA" w:rsidRDefault="00136FAA" w:rsidP="00136FAA">
      <w:pPr>
        <w:rPr>
          <w:rFonts w:ascii="Cambria" w:hAnsi="Cambria"/>
        </w:rPr>
      </w:pPr>
      <w:r>
        <w:rPr>
          <w:rFonts w:ascii="Cambria" w:hAnsi="Cambria"/>
        </w:rPr>
        <w:t xml:space="preserve">Before describing MIFIRA in more detail, we provide some basic definitions. </w:t>
      </w:r>
      <w:r w:rsidRPr="001553A1">
        <w:rPr>
          <w:rFonts w:ascii="Cambria" w:hAnsi="Cambria"/>
        </w:rPr>
        <w:t>Food markets include everything from grocery stores to village shops to weekly bazaars to neighbors selling or bartering with one another.</w:t>
      </w:r>
    </w:p>
    <w:p w14:paraId="7AFA710A" w14:textId="77777777" w:rsidR="00136FAA" w:rsidRPr="001553A1" w:rsidRDefault="00136FAA" w:rsidP="00136FAA">
      <w:pPr>
        <w:rPr>
          <w:rFonts w:ascii="Cambria" w:hAnsi="Cambria"/>
        </w:rPr>
      </w:pPr>
    </w:p>
    <w:p w14:paraId="74CF827E" w14:textId="77777777" w:rsidR="00136FAA" w:rsidRPr="001553A1" w:rsidRDefault="00136FAA" w:rsidP="00136FAA">
      <w:pPr>
        <w:pStyle w:val="ListParagraph"/>
        <w:numPr>
          <w:ilvl w:val="0"/>
          <w:numId w:val="27"/>
        </w:numPr>
        <w:rPr>
          <w:rFonts w:ascii="Cambria" w:hAnsi="Cambria"/>
        </w:rPr>
      </w:pPr>
      <w:r w:rsidRPr="001553A1">
        <w:rPr>
          <w:rFonts w:ascii="Cambria" w:hAnsi="Cambria"/>
        </w:rPr>
        <w:t xml:space="preserve">Markets are composed of: </w:t>
      </w:r>
    </w:p>
    <w:p w14:paraId="57CE1156" w14:textId="77777777" w:rsidR="00136FAA" w:rsidRPr="001553A1" w:rsidRDefault="00136FAA" w:rsidP="00136FAA">
      <w:pPr>
        <w:pStyle w:val="ListParagraph"/>
        <w:numPr>
          <w:ilvl w:val="1"/>
          <w:numId w:val="27"/>
        </w:numPr>
        <w:rPr>
          <w:rFonts w:ascii="Cambria" w:hAnsi="Cambria"/>
        </w:rPr>
      </w:pPr>
      <w:r w:rsidRPr="001553A1">
        <w:rPr>
          <w:rFonts w:ascii="Cambria" w:hAnsi="Cambria"/>
        </w:rPr>
        <w:t>Buyers of particular goods</w:t>
      </w:r>
    </w:p>
    <w:p w14:paraId="177BE9EF" w14:textId="77777777" w:rsidR="00136FAA" w:rsidRPr="001553A1" w:rsidRDefault="00136FAA" w:rsidP="00136FAA">
      <w:pPr>
        <w:pStyle w:val="ListParagraph"/>
        <w:numPr>
          <w:ilvl w:val="1"/>
          <w:numId w:val="27"/>
        </w:numPr>
        <w:rPr>
          <w:rFonts w:ascii="Cambria" w:hAnsi="Cambria"/>
        </w:rPr>
      </w:pPr>
      <w:r w:rsidRPr="001553A1">
        <w:rPr>
          <w:rFonts w:ascii="Cambria" w:hAnsi="Cambria"/>
        </w:rPr>
        <w:t>Sellers of those same goods</w:t>
      </w:r>
    </w:p>
    <w:p w14:paraId="07CA3990" w14:textId="77777777" w:rsidR="00136FAA" w:rsidRPr="001553A1" w:rsidRDefault="00136FAA" w:rsidP="00136FAA">
      <w:pPr>
        <w:pStyle w:val="ListParagraph"/>
        <w:numPr>
          <w:ilvl w:val="1"/>
          <w:numId w:val="27"/>
        </w:numPr>
        <w:rPr>
          <w:rFonts w:ascii="Cambria" w:hAnsi="Cambria"/>
        </w:rPr>
      </w:pPr>
      <w:r w:rsidRPr="001553A1">
        <w:rPr>
          <w:rFonts w:ascii="Cambria" w:hAnsi="Cambria"/>
        </w:rPr>
        <w:t>Institutions and infrastructure</w:t>
      </w:r>
    </w:p>
    <w:p w14:paraId="740F0494" w14:textId="77777777" w:rsidR="00136FAA" w:rsidRPr="001553A1" w:rsidRDefault="00136FAA" w:rsidP="00136FAA">
      <w:pPr>
        <w:pStyle w:val="ListParagraph"/>
        <w:numPr>
          <w:ilvl w:val="1"/>
          <w:numId w:val="27"/>
        </w:numPr>
        <w:rPr>
          <w:rFonts w:ascii="Cambria" w:hAnsi="Cambria"/>
        </w:rPr>
      </w:pPr>
      <w:r w:rsidRPr="001553A1">
        <w:rPr>
          <w:rFonts w:ascii="Cambria" w:hAnsi="Cambria"/>
        </w:rPr>
        <w:t>Others behind the scenes: importers, processors, storage owners, wholesalers, credit suppliers, government officials and polic</w:t>
      </w:r>
      <w:r>
        <w:rPr>
          <w:rFonts w:ascii="Cambria" w:hAnsi="Cambria"/>
        </w:rPr>
        <w:t>y makers</w:t>
      </w:r>
      <w:r w:rsidRPr="001553A1">
        <w:rPr>
          <w:rFonts w:ascii="Cambria" w:hAnsi="Cambria"/>
        </w:rPr>
        <w:t xml:space="preserve"> </w:t>
      </w:r>
    </w:p>
    <w:p w14:paraId="7F2F959A" w14:textId="77777777" w:rsidR="00136FAA" w:rsidRPr="001553A1" w:rsidRDefault="00136FAA" w:rsidP="00136FAA">
      <w:pPr>
        <w:ind w:left="360" w:hanging="360"/>
        <w:rPr>
          <w:rFonts w:ascii="Cambria" w:hAnsi="Cambria"/>
        </w:rPr>
      </w:pPr>
      <w:r w:rsidRPr="001553A1">
        <w:rPr>
          <w:rFonts w:ascii="Cambria" w:hAnsi="Cambria"/>
        </w:rPr>
        <w:t>• Relative functioning of a market depends on:</w:t>
      </w:r>
    </w:p>
    <w:p w14:paraId="5F8B2E41" w14:textId="77777777" w:rsidR="00136FAA" w:rsidRPr="001553A1" w:rsidRDefault="00136FAA" w:rsidP="00136FAA">
      <w:pPr>
        <w:pStyle w:val="ListParagraph"/>
        <w:numPr>
          <w:ilvl w:val="1"/>
          <w:numId w:val="27"/>
        </w:numPr>
        <w:rPr>
          <w:rFonts w:ascii="Cambria" w:hAnsi="Cambria"/>
        </w:rPr>
      </w:pPr>
      <w:r>
        <w:rPr>
          <w:rFonts w:ascii="Cambria" w:hAnsi="Cambria"/>
        </w:rPr>
        <w:t xml:space="preserve">Number, size and </w:t>
      </w:r>
      <w:r w:rsidRPr="001553A1">
        <w:rPr>
          <w:rFonts w:ascii="Cambria" w:hAnsi="Cambria"/>
        </w:rPr>
        <w:t>independence of buyers and sellers</w:t>
      </w:r>
    </w:p>
    <w:p w14:paraId="797A5072" w14:textId="77777777" w:rsidR="00136FAA" w:rsidRPr="001553A1" w:rsidRDefault="00136FAA" w:rsidP="00136FAA">
      <w:pPr>
        <w:pStyle w:val="ListParagraph"/>
        <w:numPr>
          <w:ilvl w:val="1"/>
          <w:numId w:val="27"/>
        </w:numPr>
        <w:rPr>
          <w:rFonts w:ascii="Cambria" w:hAnsi="Cambria"/>
        </w:rPr>
      </w:pPr>
      <w:r w:rsidRPr="001553A1">
        <w:rPr>
          <w:rFonts w:ascii="Cambria" w:hAnsi="Cambria"/>
        </w:rPr>
        <w:t>Formation of prices</w:t>
      </w:r>
    </w:p>
    <w:p w14:paraId="646D27A3" w14:textId="77777777" w:rsidR="00136FAA" w:rsidRPr="001553A1" w:rsidRDefault="00136FAA" w:rsidP="00136FAA">
      <w:pPr>
        <w:pStyle w:val="ListParagraph"/>
        <w:numPr>
          <w:ilvl w:val="1"/>
          <w:numId w:val="27"/>
        </w:numPr>
        <w:rPr>
          <w:rFonts w:ascii="Cambria" w:hAnsi="Cambria"/>
        </w:rPr>
      </w:pPr>
      <w:r w:rsidRPr="001553A1">
        <w:rPr>
          <w:rFonts w:ascii="Cambria" w:hAnsi="Cambria"/>
        </w:rPr>
        <w:t>Availability of information on prices and costs</w:t>
      </w:r>
    </w:p>
    <w:p w14:paraId="4A968CBA" w14:textId="77777777" w:rsidR="00136FAA" w:rsidRPr="001553A1" w:rsidRDefault="00136FAA" w:rsidP="00136FAA">
      <w:pPr>
        <w:pStyle w:val="ListParagraph"/>
        <w:numPr>
          <w:ilvl w:val="1"/>
          <w:numId w:val="27"/>
        </w:numPr>
        <w:rPr>
          <w:rFonts w:ascii="Cambria" w:hAnsi="Cambria"/>
        </w:rPr>
      </w:pPr>
      <w:r w:rsidRPr="001553A1">
        <w:rPr>
          <w:rFonts w:ascii="Cambria" w:hAnsi="Cambria"/>
        </w:rPr>
        <w:t>Ease of entry and exit</w:t>
      </w:r>
    </w:p>
    <w:p w14:paraId="0CA1A6B9" w14:textId="77777777" w:rsidR="00136FAA" w:rsidRPr="001553A1" w:rsidRDefault="00136FAA" w:rsidP="00136FAA">
      <w:pPr>
        <w:tabs>
          <w:tab w:val="left" w:pos="360"/>
        </w:tabs>
        <w:ind w:left="360" w:hanging="360"/>
        <w:rPr>
          <w:rFonts w:ascii="Cambria" w:hAnsi="Cambria"/>
        </w:rPr>
      </w:pPr>
      <w:r w:rsidRPr="001553A1">
        <w:rPr>
          <w:rFonts w:ascii="Cambria" w:hAnsi="Cambria"/>
        </w:rPr>
        <w:t>• Relative functioning of a market system depends on:</w:t>
      </w:r>
    </w:p>
    <w:p w14:paraId="3085B0F2" w14:textId="77777777" w:rsidR="00136FAA" w:rsidRPr="001553A1" w:rsidRDefault="00136FAA" w:rsidP="00136FAA">
      <w:pPr>
        <w:pStyle w:val="ListParagraph"/>
        <w:numPr>
          <w:ilvl w:val="1"/>
          <w:numId w:val="27"/>
        </w:numPr>
        <w:rPr>
          <w:rFonts w:ascii="Cambria" w:hAnsi="Cambria"/>
        </w:rPr>
      </w:pPr>
      <w:r w:rsidRPr="001553A1">
        <w:rPr>
          <w:rFonts w:ascii="Cambria" w:hAnsi="Cambria"/>
        </w:rPr>
        <w:t>Reliability of contract enforcement</w:t>
      </w:r>
    </w:p>
    <w:p w14:paraId="13E1EE10" w14:textId="77777777" w:rsidR="00136FAA" w:rsidRPr="001553A1" w:rsidRDefault="00136FAA" w:rsidP="00136FAA">
      <w:pPr>
        <w:pStyle w:val="ListParagraph"/>
        <w:numPr>
          <w:ilvl w:val="1"/>
          <w:numId w:val="27"/>
        </w:numPr>
        <w:rPr>
          <w:rFonts w:ascii="Cambria" w:hAnsi="Cambria"/>
        </w:rPr>
      </w:pPr>
      <w:r w:rsidRPr="001553A1">
        <w:rPr>
          <w:rFonts w:ascii="Cambria" w:hAnsi="Cambria"/>
        </w:rPr>
        <w:t>Integration across markets</w:t>
      </w:r>
    </w:p>
    <w:p w14:paraId="5D768D7D" w14:textId="77777777" w:rsidR="00136FAA" w:rsidRPr="001553A1" w:rsidRDefault="00136FAA" w:rsidP="00136FAA">
      <w:pPr>
        <w:pStyle w:val="ListParagraph"/>
        <w:numPr>
          <w:ilvl w:val="1"/>
          <w:numId w:val="27"/>
        </w:numPr>
        <w:rPr>
          <w:rFonts w:ascii="Cambria" w:hAnsi="Cambria"/>
        </w:rPr>
      </w:pPr>
      <w:r w:rsidRPr="001553A1">
        <w:rPr>
          <w:rFonts w:ascii="Cambria" w:hAnsi="Cambria"/>
        </w:rPr>
        <w:t>Institutional framework (infrastructure, government policies, etc.)</w:t>
      </w:r>
    </w:p>
    <w:p w14:paraId="7B3ABC0B" w14:textId="77777777" w:rsidR="00FF4787" w:rsidRDefault="00FF4787" w:rsidP="00136FAA">
      <w:pPr>
        <w:rPr>
          <w:rFonts w:ascii="Cambria" w:hAnsi="Cambria"/>
        </w:rPr>
      </w:pPr>
    </w:p>
    <w:p w14:paraId="281EDEA9" w14:textId="77777777" w:rsidR="00136FAA" w:rsidRDefault="00136FAA" w:rsidP="00136FAA">
      <w:pPr>
        <w:rPr>
          <w:rFonts w:ascii="Cambria" w:hAnsi="Cambria"/>
        </w:rPr>
      </w:pPr>
      <w:r>
        <w:rPr>
          <w:rFonts w:ascii="Cambria" w:hAnsi="Cambria"/>
        </w:rPr>
        <w:t>To summarize,</w:t>
      </w:r>
      <w:r w:rsidRPr="001553A1">
        <w:rPr>
          <w:rFonts w:ascii="Cambria" w:hAnsi="Cambria"/>
        </w:rPr>
        <w:t xml:space="preserve"> the types of markets that a household can access can be quite diverse, an</w:t>
      </w:r>
      <w:r>
        <w:rPr>
          <w:rFonts w:ascii="Cambria" w:hAnsi="Cambria"/>
        </w:rPr>
        <w:t>d analysis should incorporate more than</w:t>
      </w:r>
      <w:r w:rsidRPr="001553A1">
        <w:rPr>
          <w:rFonts w:ascii="Cambria" w:hAnsi="Cambria"/>
        </w:rPr>
        <w:t xml:space="preserve"> formal shops.</w:t>
      </w:r>
    </w:p>
    <w:p w14:paraId="4350C299" w14:textId="77777777" w:rsidR="00136FAA" w:rsidRDefault="00136FAA" w:rsidP="00136FAA">
      <w:pPr>
        <w:rPr>
          <w:u w:val="single"/>
        </w:rPr>
      </w:pPr>
    </w:p>
    <w:p w14:paraId="0C46532F" w14:textId="77777777" w:rsidR="00136FAA" w:rsidRPr="00E32F52" w:rsidRDefault="00136FAA" w:rsidP="00136FAA">
      <w:r>
        <w:t>A marketshed is the geographical area and population that has actual or potential trade relationships with a market center.</w:t>
      </w:r>
      <w:r>
        <w:rPr>
          <w:rStyle w:val="FootnoteReference"/>
        </w:rPr>
        <w:footnoteReference w:id="1"/>
      </w:r>
      <w:r>
        <w:t xml:space="preserve"> Marketsheds are composed of a network of markets and market flows within an area. Often, one market is dominant in size and capacity. </w:t>
      </w:r>
    </w:p>
    <w:p w14:paraId="00F1DF43" w14:textId="77777777" w:rsidR="00136FAA" w:rsidRDefault="00136FAA" w:rsidP="00136FAA">
      <w:pPr>
        <w:rPr>
          <w:u w:val="single"/>
        </w:rPr>
      </w:pPr>
    </w:p>
    <w:p w14:paraId="5A0EAEC2" w14:textId="77777777" w:rsidR="00136FAA" w:rsidRDefault="00136FAA" w:rsidP="00136FAA">
      <w:r>
        <w:t>Other helpful vocabulary includes the following:</w:t>
      </w:r>
    </w:p>
    <w:p w14:paraId="005322C5" w14:textId="77777777" w:rsidR="00136FAA" w:rsidRDefault="00136FAA" w:rsidP="00136FAA">
      <w:pPr>
        <w:rPr>
          <w:b/>
        </w:rPr>
      </w:pPr>
    </w:p>
    <w:p w14:paraId="5AFCAB37" w14:textId="77777777" w:rsidR="00136FAA" w:rsidRPr="00E26E7F" w:rsidRDefault="00136FAA" w:rsidP="00136FAA">
      <w:pPr>
        <w:rPr>
          <w:b/>
        </w:rPr>
      </w:pPr>
      <w:r>
        <w:rPr>
          <w:b/>
        </w:rPr>
        <w:t>FEWS NET commodity chain vocabulary:</w:t>
      </w:r>
    </w:p>
    <w:p w14:paraId="2A41474E" w14:textId="77777777" w:rsidR="00136FAA" w:rsidRDefault="00136FAA" w:rsidP="00136FAA">
      <w:r w:rsidRPr="00DC7CE5">
        <w:rPr>
          <w:noProof/>
          <w:lang w:eastAsia="en-US"/>
        </w:rPr>
        <w:drawing>
          <wp:inline distT="0" distB="0" distL="0" distR="0" wp14:anchorId="61AE049B" wp14:editId="6BF3969B">
            <wp:extent cx="5486400" cy="3505200"/>
            <wp:effectExtent l="25400" t="0" r="0" b="0"/>
            <wp:docPr id="20" name="P 7" descr="FEWs Commodity Chain Channels.tiff"/>
            <wp:cNvGraphicFramePr/>
            <a:graphic xmlns:a="http://schemas.openxmlformats.org/drawingml/2006/main">
              <a:graphicData uri="http://schemas.openxmlformats.org/drawingml/2006/picture">
                <pic:pic xmlns:pic="http://schemas.openxmlformats.org/drawingml/2006/picture">
                  <pic:nvPicPr>
                    <pic:cNvPr id="0" name="Content Placeholder 6" descr="FEWs Commodity Chain Channels.tiff"/>
                    <pic:cNvPicPr>
                      <a:picLocks noGrp="1" noChangeAspect="1"/>
                    </pic:cNvPicPr>
                  </pic:nvPicPr>
                  <pic:blipFill>
                    <a:blip r:embed="rId27" cstate="print"/>
                    <a:srcRect t="-15468" b="-15468"/>
                    <a:stretch>
                      <a:fillRect/>
                    </a:stretch>
                  </pic:blipFill>
                  <pic:spPr bwMode="auto">
                    <a:xfrm>
                      <a:off x="0" y="0"/>
                      <a:ext cx="5486400" cy="3505200"/>
                    </a:xfrm>
                    <a:prstGeom prst="rect">
                      <a:avLst/>
                    </a:prstGeom>
                    <a:noFill/>
                    <a:ln w="12700">
                      <a:noFill/>
                      <a:miter lim="800000"/>
                      <a:headEnd/>
                      <a:tailEnd/>
                    </a:ln>
                  </pic:spPr>
                </pic:pic>
              </a:graphicData>
            </a:graphic>
          </wp:inline>
        </w:drawing>
      </w:r>
      <w:r>
        <w:t>Source: FEWS NET</w:t>
      </w:r>
      <w:r w:rsidRPr="001E47AD">
        <w:t xml:space="preserve"> (2008) Market Analysis and Assessment. </w:t>
      </w:r>
      <w:r w:rsidRPr="00DC7CE5">
        <w:t>Lesson 1, p. 5</w:t>
      </w:r>
      <w:r>
        <w:t>.</w:t>
      </w:r>
    </w:p>
    <w:p w14:paraId="25594B83" w14:textId="77777777" w:rsidR="00136FAA" w:rsidRDefault="00136FAA" w:rsidP="00136FAA">
      <w:pPr>
        <w:rPr>
          <w:u w:val="single"/>
        </w:rPr>
      </w:pPr>
    </w:p>
    <w:p w14:paraId="6DB2A1B3" w14:textId="77777777" w:rsidR="00136FAA" w:rsidRPr="00E26E7F" w:rsidRDefault="00136FAA" w:rsidP="00136FAA">
      <w:pPr>
        <w:rPr>
          <w:b/>
        </w:rPr>
      </w:pPr>
      <w:r>
        <w:rPr>
          <w:b/>
        </w:rPr>
        <w:t>FEWS NET</w:t>
      </w:r>
      <w:r w:rsidRPr="00E26E7F">
        <w:rPr>
          <w:b/>
        </w:rPr>
        <w:t xml:space="preserve"> Key Components of a Market Relation:</w:t>
      </w:r>
    </w:p>
    <w:p w14:paraId="78F24A4F" w14:textId="77777777" w:rsidR="00136FAA" w:rsidRDefault="00136FAA" w:rsidP="00136FAA">
      <w:r w:rsidRPr="00DC7CE5">
        <w:rPr>
          <w:noProof/>
          <w:lang w:eastAsia="en-US"/>
        </w:rPr>
        <w:drawing>
          <wp:inline distT="0" distB="0" distL="0" distR="0" wp14:anchorId="7AE5B283" wp14:editId="58FE55AE">
            <wp:extent cx="5486400" cy="3505200"/>
            <wp:effectExtent l="25400" t="0" r="0" b="0"/>
            <wp:docPr id="24" name="P 6" descr="FEWs Key components of market networks.tiff"/>
            <wp:cNvGraphicFramePr/>
            <a:graphic xmlns:a="http://schemas.openxmlformats.org/drawingml/2006/main">
              <a:graphicData uri="http://schemas.openxmlformats.org/drawingml/2006/picture">
                <pic:pic xmlns:pic="http://schemas.openxmlformats.org/drawingml/2006/picture">
                  <pic:nvPicPr>
                    <pic:cNvPr id="0" name="Content Placeholder 4" descr="FEWs Key components of market networks.tiff"/>
                    <pic:cNvPicPr>
                      <a:picLocks noGrp="1" noChangeAspect="1"/>
                    </pic:cNvPicPr>
                  </pic:nvPicPr>
                  <pic:blipFill>
                    <a:blip r:embed="rId28" cstate="print"/>
                    <a:srcRect t="-5923" b="-5923"/>
                    <a:stretch>
                      <a:fillRect/>
                    </a:stretch>
                  </pic:blipFill>
                  <pic:spPr bwMode="auto">
                    <a:xfrm>
                      <a:off x="0" y="0"/>
                      <a:ext cx="5486400" cy="3505200"/>
                    </a:xfrm>
                    <a:prstGeom prst="rect">
                      <a:avLst/>
                    </a:prstGeom>
                    <a:noFill/>
                    <a:ln w="12700">
                      <a:noFill/>
                      <a:miter lim="800000"/>
                      <a:headEnd/>
                      <a:tailEnd/>
                    </a:ln>
                  </pic:spPr>
                </pic:pic>
              </a:graphicData>
            </a:graphic>
          </wp:inline>
        </w:drawing>
      </w:r>
    </w:p>
    <w:p w14:paraId="0219A354" w14:textId="77777777" w:rsidR="00136FAA" w:rsidRDefault="00136FAA" w:rsidP="00136FAA"/>
    <w:p w14:paraId="2C9B6CE9" w14:textId="77777777" w:rsidR="00136FAA" w:rsidRDefault="00136FAA" w:rsidP="00136FAA">
      <w:r>
        <w:t>Source: FEWS NET</w:t>
      </w:r>
      <w:r w:rsidRPr="001E47AD">
        <w:t xml:space="preserve"> (2008) Market Analysis and Assessment. </w:t>
      </w:r>
      <w:r w:rsidRPr="00DC7CE5">
        <w:t xml:space="preserve">Lesson 1, p. </w:t>
      </w:r>
      <w:r>
        <w:t>12.</w:t>
      </w:r>
    </w:p>
    <w:p w14:paraId="79C87CD4" w14:textId="77777777" w:rsidR="00E47905" w:rsidRDefault="00E47905" w:rsidP="00E47905"/>
    <w:p w14:paraId="18FCEC23" w14:textId="77777777" w:rsidR="003E15DE" w:rsidRPr="00F46870" w:rsidRDefault="00A05CE7" w:rsidP="008A0564">
      <w:pPr>
        <w:pStyle w:val="TOC2"/>
      </w:pPr>
      <w:r w:rsidRPr="00F46870">
        <w:t>Market-based response analysis</w:t>
      </w:r>
      <w:r w:rsidR="00D600D6" w:rsidRPr="00F46870">
        <w:t>: MIFIRA</w:t>
      </w:r>
    </w:p>
    <w:p w14:paraId="1BDFCD79" w14:textId="77777777" w:rsidR="00F46870" w:rsidRPr="00F46870" w:rsidRDefault="00F46870" w:rsidP="00F46870"/>
    <w:p w14:paraId="6F746491" w14:textId="77777777" w:rsidR="00F46870" w:rsidRDefault="00FD3EAC" w:rsidP="00FD3EAC">
      <w:r w:rsidRPr="004242FF">
        <w:t xml:space="preserve">The objective of MIFIRA is to </w:t>
      </w:r>
      <w:r w:rsidR="00285156">
        <w:t>assess the functioning</w:t>
      </w:r>
      <w:r w:rsidRPr="004242FF">
        <w:t xml:space="preserve"> of</w:t>
      </w:r>
      <w:r>
        <w:t xml:space="preserve"> </w:t>
      </w:r>
      <w:r w:rsidRPr="004242FF">
        <w:t xml:space="preserve">food markets </w:t>
      </w:r>
      <w:r w:rsidR="00285156">
        <w:t>used by</w:t>
      </w:r>
      <w:r w:rsidR="00285156" w:rsidRPr="004242FF">
        <w:t xml:space="preserve"> </w:t>
      </w:r>
      <w:r w:rsidRPr="004242FF">
        <w:t xml:space="preserve">target food insecure population(s) and </w:t>
      </w:r>
      <w:r w:rsidR="00285156">
        <w:t xml:space="preserve">identify </w:t>
      </w:r>
      <w:r w:rsidRPr="004242FF">
        <w:t>the likely behavioral response</w:t>
      </w:r>
      <w:r>
        <w:t>s</w:t>
      </w:r>
      <w:r w:rsidRPr="004242FF">
        <w:t xml:space="preserve"> of key market participants – such as traders, importers, households, government, and NGOs – so as to </w:t>
      </w:r>
      <w:r w:rsidR="00285156">
        <w:t>determine</w:t>
      </w:r>
      <w:r w:rsidR="00285156" w:rsidRPr="004242FF">
        <w:t xml:space="preserve"> </w:t>
      </w:r>
      <w:r w:rsidRPr="004242FF">
        <w:t xml:space="preserve">the </w:t>
      </w:r>
      <w:r w:rsidR="00285156">
        <w:t>food assistance intervention</w:t>
      </w:r>
      <w:r w:rsidR="00285156" w:rsidRPr="004242FF">
        <w:t xml:space="preserve"> </w:t>
      </w:r>
      <w:r w:rsidRPr="004242FF">
        <w:t xml:space="preserve">most appropriate </w:t>
      </w:r>
      <w:r w:rsidR="00285156">
        <w:t>for</w:t>
      </w:r>
      <w:r w:rsidR="00285156" w:rsidRPr="004242FF">
        <w:t xml:space="preserve"> </w:t>
      </w:r>
      <w:r w:rsidRPr="004242FF">
        <w:t xml:space="preserve">the circumstances.  </w:t>
      </w:r>
    </w:p>
    <w:p w14:paraId="2AA73F2C" w14:textId="77777777" w:rsidR="00F46870" w:rsidRDefault="00F46870" w:rsidP="00FD3EAC"/>
    <w:p w14:paraId="39FBB203" w14:textId="5F430F1A" w:rsidR="00F52F1E" w:rsidRDefault="00FD3EAC" w:rsidP="00FD3EAC">
      <w:r w:rsidRPr="004242FF">
        <w:t xml:space="preserve">Response analysis for food insecurity must first identify how local supply and prices in the target distribution market will likely respond to increased demand following an injection of cash </w:t>
      </w:r>
      <w:r w:rsidR="00285156">
        <w:t>in</w:t>
      </w:r>
      <w:r w:rsidRPr="004242FF">
        <w:t>to households or to increased supply from loc</w:t>
      </w:r>
      <w:r w:rsidR="0027044F">
        <w:t>al distribution of donated food</w:t>
      </w:r>
      <w:r w:rsidR="0052700E">
        <w:t xml:space="preserve">. In </w:t>
      </w:r>
      <w:r w:rsidR="00E37D32">
        <w:t>essence</w:t>
      </w:r>
      <w:r w:rsidR="0052700E">
        <w:t>,</w:t>
      </w:r>
      <w:r w:rsidR="0027044F">
        <w:t xml:space="preserve"> are markets functioning?</w:t>
      </w:r>
      <w:r w:rsidRPr="004242FF">
        <w:t xml:space="preserve"> </w:t>
      </w:r>
      <w:r w:rsidR="006C0A04">
        <w:t xml:space="preserve">If </w:t>
      </w:r>
      <w:r w:rsidRPr="004242FF">
        <w:t>food aid appears</w:t>
      </w:r>
      <w:r>
        <w:t xml:space="preserve"> necessary, the second step examines how prices will likely respond to food procurement in local or regional markets and how producer prices may be impacted by food aid distribution in a target recipient community</w:t>
      </w:r>
      <w:r w:rsidR="0052700E">
        <w:t>. This step addresses the question</w:t>
      </w:r>
      <w:r w:rsidR="0027044F">
        <w:t>, is there sufficient food available nearby to fill the gap?</w:t>
      </w:r>
      <w:r>
        <w:t xml:space="preserve"> </w:t>
      </w:r>
    </w:p>
    <w:p w14:paraId="07E8F8E1" w14:textId="77777777" w:rsidR="00F52F1E" w:rsidRDefault="00F52F1E" w:rsidP="00FD3EAC"/>
    <w:p w14:paraId="0FA096C6" w14:textId="77777777" w:rsidR="00FE6DCC" w:rsidRPr="0027044F" w:rsidRDefault="0027044F">
      <w:pPr>
        <w:rPr>
          <w:b/>
        </w:rPr>
      </w:pPr>
      <w:r w:rsidRPr="0027044F">
        <w:rPr>
          <w:b/>
        </w:rPr>
        <w:t>MIFIRA Framework</w:t>
      </w:r>
    </w:p>
    <w:p w14:paraId="1EC4E4E7" w14:textId="77777777" w:rsidR="0027044F" w:rsidRDefault="00FE6DCC">
      <w:r w:rsidRPr="00FE6DCC">
        <w:rPr>
          <w:noProof/>
          <w:lang w:eastAsia="en-US"/>
        </w:rPr>
        <w:drawing>
          <wp:inline distT="0" distB="0" distL="0" distR="0" wp14:anchorId="6B9FAF21" wp14:editId="680E6711">
            <wp:extent cx="5486400" cy="3505200"/>
            <wp:effectExtent l="0" t="0" r="0" b="0"/>
            <wp:docPr id="6" name="P 3" descr="Basic DT .pdf"/>
            <wp:cNvGraphicFramePr/>
            <a:graphic xmlns:a="http://schemas.openxmlformats.org/drawingml/2006/main">
              <a:graphicData uri="http://schemas.openxmlformats.org/drawingml/2006/picture">
                <pic:pic xmlns:pic="http://schemas.openxmlformats.org/drawingml/2006/picture">
                  <pic:nvPicPr>
                    <pic:cNvPr id="0" name="Content Placeholder 9" descr="Basic DT .pdf"/>
                    <pic:cNvPicPr>
                      <a:picLocks noGrp="1" noChangeAspect="1"/>
                    </pic:cNvPicPr>
                  </pic:nvPicPr>
                  <pic:blipFill>
                    <a:blip r:embed="rId29" cstate="print"/>
                    <a:srcRect l="-5072" r="-5072"/>
                    <a:stretch>
                      <a:fillRect/>
                    </a:stretch>
                  </pic:blipFill>
                  <pic:spPr bwMode="auto">
                    <a:xfrm>
                      <a:off x="0" y="0"/>
                      <a:ext cx="5486400" cy="3505200"/>
                    </a:xfrm>
                    <a:prstGeom prst="rect">
                      <a:avLst/>
                    </a:prstGeom>
                    <a:noFill/>
                    <a:ln w="12700">
                      <a:noFill/>
                      <a:miter lim="800000"/>
                      <a:headEnd/>
                      <a:tailEnd/>
                    </a:ln>
                  </pic:spPr>
                </pic:pic>
              </a:graphicData>
            </a:graphic>
          </wp:inline>
        </w:drawing>
      </w:r>
    </w:p>
    <w:p w14:paraId="028E2386" w14:textId="77777777" w:rsidR="0027044F" w:rsidRDefault="0027044F"/>
    <w:p w14:paraId="21F58899" w14:textId="77777777" w:rsidR="0027044F" w:rsidRDefault="0027044F"/>
    <w:p w14:paraId="638622E9" w14:textId="04F2A218" w:rsidR="000C6364" w:rsidRDefault="000C6364" w:rsidP="000C6364">
      <w:pPr>
        <w:tabs>
          <w:tab w:val="left" w:pos="360"/>
          <w:tab w:val="left" w:pos="720"/>
        </w:tabs>
      </w:pPr>
      <w:r>
        <w:rPr>
          <w:b/>
        </w:rPr>
        <w:t xml:space="preserve">Question </w:t>
      </w:r>
      <w:r w:rsidRPr="006A3ADF">
        <w:rPr>
          <w:b/>
        </w:rPr>
        <w:t>1.</w:t>
      </w:r>
      <w:r>
        <w:rPr>
          <w:b/>
        </w:rPr>
        <w:t xml:space="preserve"> Are local markets functioning well?  </w:t>
      </w:r>
      <w:r>
        <w:t xml:space="preserve">The objective in answering this question is to establish whether cash transfers offer a feasible, effective response for addressing a food security crisis. If so, </w:t>
      </w:r>
      <w:r w:rsidR="00341F36">
        <w:t xml:space="preserve">are they appropriate </w:t>
      </w:r>
      <w:r>
        <w:t xml:space="preserve">for everyone or only for some sub-populations? </w:t>
      </w:r>
      <w:r w:rsidR="00341F36">
        <w:t>Will cash transfers be sufficient, or effective</w:t>
      </w:r>
      <w:r>
        <w:t xml:space="preserve"> only up to some limit beyond which complementary food aid deliveries will be required?</w:t>
      </w:r>
    </w:p>
    <w:p w14:paraId="2BF62082" w14:textId="77777777" w:rsidR="000C6364" w:rsidRDefault="000C6364" w:rsidP="000C6364">
      <w:pPr>
        <w:tabs>
          <w:tab w:val="left" w:pos="360"/>
          <w:tab w:val="left" w:pos="720"/>
        </w:tabs>
      </w:pPr>
    </w:p>
    <w:p w14:paraId="1C49E93B" w14:textId="6777BC8C" w:rsidR="000C6364" w:rsidRDefault="00CD54AB" w:rsidP="000C6364">
      <w:pPr>
        <w:tabs>
          <w:tab w:val="left" w:pos="360"/>
          <w:tab w:val="left" w:pos="720"/>
        </w:tabs>
        <w:rPr>
          <w:szCs w:val="20"/>
        </w:rPr>
      </w:pPr>
      <w:r>
        <w:t>Q</w:t>
      </w:r>
      <w:r w:rsidR="000C6364">
        <w:t xml:space="preserve">uestion </w:t>
      </w:r>
      <w:r>
        <w:t xml:space="preserve">one </w:t>
      </w:r>
      <w:r w:rsidR="000C6364">
        <w:t>must be further broken down to become operationalizable.  We find that the minimum manageable disaggregation consists of</w:t>
      </w:r>
      <w:r w:rsidR="008B156A">
        <w:t xml:space="preserve"> the following</w:t>
      </w:r>
      <w:r w:rsidR="000C6364">
        <w:t xml:space="preserve"> five </w:t>
      </w:r>
      <w:r w:rsidR="00E37D32">
        <w:t>sub-</w:t>
      </w:r>
      <w:r w:rsidR="008B156A">
        <w:t>questions:</w:t>
      </w:r>
      <w:r w:rsidR="000C6364">
        <w:t xml:space="preserve"> </w:t>
      </w:r>
    </w:p>
    <w:p w14:paraId="5A853348" w14:textId="77777777" w:rsidR="000C6364" w:rsidRDefault="000C6364" w:rsidP="000C6364">
      <w:pPr>
        <w:tabs>
          <w:tab w:val="left" w:pos="360"/>
          <w:tab w:val="left" w:pos="720"/>
        </w:tabs>
      </w:pPr>
    </w:p>
    <w:p w14:paraId="430D297F" w14:textId="77777777" w:rsidR="000C6364" w:rsidRPr="006A3ADF" w:rsidRDefault="000C6364" w:rsidP="000C6364">
      <w:pPr>
        <w:tabs>
          <w:tab w:val="left" w:pos="360"/>
          <w:tab w:val="left" w:pos="720"/>
        </w:tabs>
        <w:rPr>
          <w:b/>
        </w:rPr>
      </w:pPr>
      <w:r w:rsidRPr="006A3ADF">
        <w:rPr>
          <w:b/>
        </w:rPr>
        <w:t>1a. Are food insecure households well connected to local markets?</w:t>
      </w:r>
    </w:p>
    <w:p w14:paraId="6AFDCCE5" w14:textId="77777777" w:rsidR="000C6364" w:rsidRPr="006A3ADF" w:rsidRDefault="000C6364" w:rsidP="000C6364">
      <w:pPr>
        <w:tabs>
          <w:tab w:val="left" w:pos="360"/>
          <w:tab w:val="left" w:pos="720"/>
        </w:tabs>
        <w:rPr>
          <w:b/>
        </w:rPr>
      </w:pPr>
      <w:r w:rsidRPr="006A3ADF">
        <w:rPr>
          <w:b/>
        </w:rPr>
        <w:t>1</w:t>
      </w:r>
      <w:r>
        <w:rPr>
          <w:b/>
        </w:rPr>
        <w:t>b</w:t>
      </w:r>
      <w:r w:rsidRPr="006A3ADF">
        <w:rPr>
          <w:b/>
        </w:rPr>
        <w:t>. How will local demand respond to transfers?</w:t>
      </w:r>
    </w:p>
    <w:p w14:paraId="25AA4C47" w14:textId="77777777" w:rsidR="000C6364" w:rsidRPr="006A3ADF" w:rsidRDefault="000C6364" w:rsidP="000C6364">
      <w:pPr>
        <w:tabs>
          <w:tab w:val="left" w:pos="360"/>
          <w:tab w:val="left" w:pos="720"/>
        </w:tabs>
        <w:rPr>
          <w:b/>
        </w:rPr>
      </w:pPr>
      <w:r w:rsidRPr="006A3ADF">
        <w:rPr>
          <w:b/>
        </w:rPr>
        <w:t>1</w:t>
      </w:r>
      <w:r>
        <w:rPr>
          <w:b/>
        </w:rPr>
        <w:t>c</w:t>
      </w:r>
      <w:r w:rsidRPr="006A3ADF">
        <w:rPr>
          <w:b/>
        </w:rPr>
        <w:t xml:space="preserve">. How much additional food </w:t>
      </w:r>
      <w:r>
        <w:rPr>
          <w:b/>
        </w:rPr>
        <w:t>will</w:t>
      </w:r>
      <w:r w:rsidRPr="006A3ADF">
        <w:rPr>
          <w:b/>
        </w:rPr>
        <w:t xml:space="preserve"> traders supply at or near current costs?</w:t>
      </w:r>
    </w:p>
    <w:p w14:paraId="113D069A" w14:textId="77777777" w:rsidR="000C6364" w:rsidRPr="006A3ADF" w:rsidRDefault="000C6364" w:rsidP="000C6364">
      <w:pPr>
        <w:tabs>
          <w:tab w:val="left" w:pos="360"/>
          <w:tab w:val="left" w:pos="720"/>
        </w:tabs>
        <w:rPr>
          <w:b/>
        </w:rPr>
      </w:pPr>
      <w:r w:rsidRPr="006A3ADF">
        <w:rPr>
          <w:b/>
        </w:rPr>
        <w:t>1d. Do local food traders behave competitively?</w:t>
      </w:r>
    </w:p>
    <w:p w14:paraId="6D330E5F" w14:textId="77777777" w:rsidR="000C6364" w:rsidRPr="006A3ADF" w:rsidRDefault="000C6364" w:rsidP="000C6364">
      <w:pPr>
        <w:tabs>
          <w:tab w:val="left" w:pos="360"/>
          <w:tab w:val="left" w:pos="720"/>
        </w:tabs>
        <w:rPr>
          <w:b/>
        </w:rPr>
      </w:pPr>
      <w:r w:rsidRPr="006A3ADF">
        <w:rPr>
          <w:b/>
        </w:rPr>
        <w:t>1e. Do food insecure households have a preference over the form/mix of aid they receive?</w:t>
      </w:r>
    </w:p>
    <w:p w14:paraId="5ABB36D7" w14:textId="77777777" w:rsidR="000C6364" w:rsidRDefault="000C6364" w:rsidP="0027044F">
      <w:pPr>
        <w:tabs>
          <w:tab w:val="left" w:pos="720"/>
        </w:tabs>
        <w:rPr>
          <w:b/>
        </w:rPr>
      </w:pPr>
    </w:p>
    <w:p w14:paraId="6AE442E9" w14:textId="17CBE9C6" w:rsidR="008F3467" w:rsidRPr="00A17CC8" w:rsidRDefault="008F3467" w:rsidP="008F3467">
      <w:r>
        <w:t>Indicators point in the direction of relying on local market-based mechanisms to expand food access in the following circumstances: (1) if food insecure households routinely participate in local markets for staple foods (1a); (2) targeting needy households is feasible or the amount of aid given to each household is low relative to their total purchasing power, thereby minimizing market distortions associ</w:t>
      </w:r>
      <w:r w:rsidR="006751F8">
        <w:t>ated targeting errors (1b); (3)</w:t>
      </w:r>
      <w:r>
        <w:t xml:space="preserve"> traders can readily expand deliveries into the local market at or near current costs so that the inverse price elasticity of supply (the percentage change in supplier cost for a percentage increase in supply) is low (1c); (4) markets are reasonably competitive so that powerful intermediaries cannot simply mark up prices to extract the transfers provided to food insecure households (1d); and, (5) target households indeed want cash (1e).  Conversely, if target households do not routinely participate in food markets (1a) or clearly prefer food to cash (1e), supply is quite price inelastic, especially if demand response would be strong (1b and 1c), or traders can exert real market power (1d), then the analysis favors greater reliance on importing food through noncommercial channels. Intermediate answers will be common, indicating either limited capacity to use markets, or capacity to use markets only for certain commodities or for particular target subpopulations.  The disaggregated decision tree is reflected below.</w:t>
      </w:r>
    </w:p>
    <w:p w14:paraId="51E7CAC5" w14:textId="77777777" w:rsidR="008F3467" w:rsidRDefault="008F3467" w:rsidP="008F3467">
      <w:pPr>
        <w:rPr>
          <w:b/>
          <w:bCs/>
        </w:rPr>
      </w:pPr>
    </w:p>
    <w:p w14:paraId="445AD796" w14:textId="77777777" w:rsidR="008F3467" w:rsidRDefault="008F3467" w:rsidP="008F3467">
      <w:r w:rsidRPr="00D50CAD">
        <w:rPr>
          <w:b/>
          <w:bCs/>
        </w:rPr>
        <w:t>First Stage of Market Information and Food Insecurity Response Analysis, Addressing the Question “Are local markets functioning well?”</w:t>
      </w:r>
    </w:p>
    <w:p w14:paraId="6C0D5E2C" w14:textId="77777777" w:rsidR="008F3467" w:rsidRDefault="008F3467" w:rsidP="008F3467">
      <w:r w:rsidRPr="00D50CAD">
        <w:rPr>
          <w:noProof/>
          <w:lang w:eastAsia="en-US"/>
        </w:rPr>
        <w:drawing>
          <wp:inline distT="0" distB="0" distL="0" distR="0" wp14:anchorId="47461DE5" wp14:editId="67F5B155">
            <wp:extent cx="5486400" cy="3505200"/>
            <wp:effectExtent l="0" t="0" r="0" b="0"/>
            <wp:docPr id="10" name="P 7" descr="MIFIRA Q1.pdf"/>
            <wp:cNvGraphicFramePr/>
            <a:graphic xmlns:a="http://schemas.openxmlformats.org/drawingml/2006/main">
              <a:graphicData uri="http://schemas.openxmlformats.org/drawingml/2006/picture">
                <pic:pic xmlns:pic="http://schemas.openxmlformats.org/drawingml/2006/picture">
                  <pic:nvPicPr>
                    <pic:cNvPr id="0" name="Content Placeholder 6" descr="MIFIRA Q1.pdf"/>
                    <pic:cNvPicPr>
                      <a:picLocks noGrp="1" noChangeAspect="1"/>
                    </pic:cNvPicPr>
                  </pic:nvPicPr>
                  <pic:blipFill>
                    <a:blip r:embed="rId30" cstate="print"/>
                    <a:srcRect l="-15419" r="-15419"/>
                    <a:stretch>
                      <a:fillRect/>
                    </a:stretch>
                  </pic:blipFill>
                  <pic:spPr bwMode="auto">
                    <a:xfrm>
                      <a:off x="0" y="0"/>
                      <a:ext cx="5486400" cy="3505200"/>
                    </a:xfrm>
                    <a:prstGeom prst="rect">
                      <a:avLst/>
                    </a:prstGeom>
                    <a:noFill/>
                    <a:ln w="12700">
                      <a:noFill/>
                      <a:miter lim="800000"/>
                      <a:headEnd/>
                      <a:tailEnd/>
                    </a:ln>
                  </pic:spPr>
                </pic:pic>
              </a:graphicData>
            </a:graphic>
          </wp:inline>
        </w:drawing>
      </w:r>
    </w:p>
    <w:p w14:paraId="57E29F2A" w14:textId="77777777" w:rsidR="008F3467" w:rsidRPr="00660C7F" w:rsidRDefault="008F3467" w:rsidP="008F3467">
      <w:pPr>
        <w:rPr>
          <w:i/>
          <w:u w:val="single"/>
        </w:rPr>
      </w:pPr>
      <w:r>
        <w:t>Source: Barrett et al. 2009.</w:t>
      </w:r>
    </w:p>
    <w:p w14:paraId="2C00FEBA" w14:textId="77777777" w:rsidR="008F3467" w:rsidRDefault="008F3467" w:rsidP="008F3467"/>
    <w:p w14:paraId="3D38F1B3" w14:textId="77777777" w:rsidR="008F3467" w:rsidRDefault="008F3467" w:rsidP="008F3467">
      <w:r>
        <w:t>Unless markets are truly failing, as in the case of hyperinflation, or when logistical or financial bottlenecks limit additional throughput capacity to relatively remote and inaccessible locations, or when one or a small number of traders has considerable market power over pricing, a mixture of cash and food is commonly desirable, with cash targeted to those with relatively good market access under more competitive conditions, and food to those with relatively poor market access under less competitive conditions.  While this can be administratively complex, and there are few good rules of thumb available regarding appropriate mixtures of cash and food, the inherent flexibility of mixtures means that agencies can adjust the mixture as market conditions improve or deteriorate. As mentioned earlier, ongoing monitoring of markets and of recipients’ and communities’ needs is necessary.  Once-and-for-all response analysis is typically inadvisable.  In the face of poorly functioning markets and limited supply, flexibility can improve livelihoods by offering households greater choice combined with some food security while enhancing market functioning.</w:t>
      </w:r>
    </w:p>
    <w:p w14:paraId="32321883" w14:textId="77777777" w:rsidR="00C06A5A" w:rsidRDefault="00C06A5A" w:rsidP="008F3467">
      <w:pPr>
        <w:tabs>
          <w:tab w:val="left" w:pos="3293"/>
        </w:tabs>
        <w:rPr>
          <w:b/>
        </w:rPr>
      </w:pPr>
    </w:p>
    <w:p w14:paraId="46E31FDF" w14:textId="52782EC7" w:rsidR="00C06A5A" w:rsidRDefault="00C06A5A" w:rsidP="008F3467">
      <w:pPr>
        <w:tabs>
          <w:tab w:val="left" w:pos="3293"/>
        </w:tabs>
        <w:rPr>
          <w:b/>
        </w:rPr>
      </w:pPr>
      <w:r w:rsidRPr="005C7A14">
        <w:rPr>
          <w:noProof/>
          <w:lang w:eastAsia="en-US"/>
        </w:rPr>
        <w:drawing>
          <wp:inline distT="0" distB="0" distL="0" distR="0" wp14:anchorId="67A767D3" wp14:editId="12DAA360">
            <wp:extent cx="5486400" cy="41148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14:paraId="124A9664" w14:textId="77777777" w:rsidR="00C06A5A" w:rsidRDefault="00C06A5A" w:rsidP="008F3467">
      <w:pPr>
        <w:tabs>
          <w:tab w:val="left" w:pos="3293"/>
        </w:tabs>
        <w:rPr>
          <w:b/>
        </w:rPr>
      </w:pPr>
    </w:p>
    <w:p w14:paraId="68BA494D" w14:textId="146AEE04" w:rsidR="00C06A5A" w:rsidRPr="00C06A5A" w:rsidRDefault="00C06A5A" w:rsidP="008F3467">
      <w:pPr>
        <w:tabs>
          <w:tab w:val="left" w:pos="3293"/>
        </w:tabs>
      </w:pPr>
      <w:r>
        <w:t>One goal of the sub-questions is to establish an estimated shift in the aggregate demand curve due to a prospective injection of cash and to determine the slope of the supply curve.</w:t>
      </w:r>
      <w:r w:rsidR="00E930DF">
        <w:t xml:space="preserve"> In cases where the supply for food is infinitely elastic, an increase in demand (the shifting of the demand curve from left to right, indicating an increase in quantity demanded) will not result in price increases.</w:t>
      </w:r>
      <w:r>
        <w:t xml:space="preserve"> </w:t>
      </w:r>
      <w:r w:rsidR="00E930DF">
        <w:t>In highly inelastic supply situations (e.g., a market is cut-off from resuppliers), any increase in demand will result in price increases. In step-wise supply functions, demand can increase somewhat before prices increase</w:t>
      </w:r>
      <w:r w:rsidR="00373232">
        <w:t xml:space="preserve"> (e.g., trader faces the same cost structure when she brings a few more kilograms of food to a market but if she were to bring many more kilograms she would face a higher cost structure because she would need to find</w:t>
      </w:r>
      <w:r w:rsidR="00B62205">
        <w:t xml:space="preserve"> more expensive transportation, labor, etc.).</w:t>
      </w:r>
      <w:r w:rsidR="00373232">
        <w:t xml:space="preserve"> </w:t>
      </w:r>
      <w:r w:rsidR="00C24EF0">
        <w:t>In later lectures, we estimate how much demand may change due to a transfer and how much suppliers can provide before prices increase.</w:t>
      </w:r>
      <w:r w:rsidR="00373232">
        <w:t xml:space="preserve"> </w:t>
      </w:r>
    </w:p>
    <w:p w14:paraId="4C9D287C" w14:textId="017E8200" w:rsidR="008F3467" w:rsidRPr="004E5A6F" w:rsidRDefault="008F3467" w:rsidP="008F3467">
      <w:pPr>
        <w:tabs>
          <w:tab w:val="left" w:pos="3293"/>
        </w:tabs>
        <w:rPr>
          <w:b/>
        </w:rPr>
      </w:pPr>
    </w:p>
    <w:p w14:paraId="4426E953" w14:textId="77777777" w:rsidR="008F3467" w:rsidRDefault="008F3467" w:rsidP="008F3467">
      <w:r>
        <w:t>Cumulatively, the answers to sub-questions 1a-1e equip analysts to come up with a balanced, evidence-based answer to the first fundamental question of response analysis: are local food markets functioning well?  If they are, then cash-based responses are generally preferable.  In that case, analysts can typically stop after this section of the response analysis as there is no need to explore food sourcing options.  If, however, food markets are not functioning well, then food deliveries are typically necessary and one needs to tackle the second fundamental question of the MIFIRA framework.</w:t>
      </w:r>
    </w:p>
    <w:p w14:paraId="23D1EB8C" w14:textId="77777777" w:rsidR="008F3467" w:rsidRDefault="008F3467" w:rsidP="008F3467"/>
    <w:p w14:paraId="22A38D2D" w14:textId="77777777" w:rsidR="008F3467" w:rsidRDefault="008F3467" w:rsidP="0027044F">
      <w:pPr>
        <w:tabs>
          <w:tab w:val="left" w:pos="720"/>
        </w:tabs>
        <w:rPr>
          <w:b/>
        </w:rPr>
      </w:pPr>
    </w:p>
    <w:p w14:paraId="7C6D8551" w14:textId="77777777" w:rsidR="008F3467" w:rsidRDefault="008F3467" w:rsidP="0027044F">
      <w:pPr>
        <w:tabs>
          <w:tab w:val="left" w:pos="720"/>
        </w:tabs>
        <w:rPr>
          <w:b/>
        </w:rPr>
      </w:pPr>
    </w:p>
    <w:p w14:paraId="5B33B856" w14:textId="1C4B4938" w:rsidR="0027044F" w:rsidRDefault="0027044F" w:rsidP="0027044F">
      <w:pPr>
        <w:tabs>
          <w:tab w:val="left" w:pos="720"/>
        </w:tabs>
      </w:pPr>
      <w:r>
        <w:rPr>
          <w:b/>
        </w:rPr>
        <w:t xml:space="preserve">Question 2. Is there sufficient food available nearby to fill the gap? </w:t>
      </w:r>
      <w:r>
        <w:t>The objective in answering this ques</w:t>
      </w:r>
      <w:r w:rsidR="00DE7C55">
        <w:t>tion is to establish from where</w:t>
      </w:r>
      <w:r>
        <w:t xml:space="preserve"> </w:t>
      </w:r>
      <w:r w:rsidR="00CD54AB">
        <w:t xml:space="preserve">an </w:t>
      </w:r>
      <w:r>
        <w:t xml:space="preserve">organization should procure food to distribute into the target delivery market so as to provide the most effective response, taking into consideration cultural and nutritional appropriateness, cost, food safety, timeliness and generalized market effects.  The historical default </w:t>
      </w:r>
      <w:r w:rsidR="00A74B6E">
        <w:t xml:space="preserve">in food aid </w:t>
      </w:r>
      <w:r>
        <w:t xml:space="preserve">has been transoceanic shipment from donor countries. However, </w:t>
      </w:r>
      <w:r w:rsidR="00A74B6E">
        <w:t>food aid procurement modalities are</w:t>
      </w:r>
      <w:r>
        <w:t xml:space="preserve"> changing quickly. In 200</w:t>
      </w:r>
      <w:r w:rsidR="00BE6848">
        <w:t>8</w:t>
      </w:r>
      <w:r>
        <w:t xml:space="preserve">, the United Nations World Food Programme procured </w:t>
      </w:r>
      <w:r w:rsidR="00BE6848">
        <w:t>2.8</w:t>
      </w:r>
      <w:r>
        <w:t xml:space="preserve"> million metri</w:t>
      </w:r>
      <w:r w:rsidR="00BE6848">
        <w:t>c tons of food - 78</w:t>
      </w:r>
      <w:r>
        <w:t>% of its</w:t>
      </w:r>
      <w:r w:rsidR="00BE6848">
        <w:t xml:space="preserve"> total food assistance - from 85</w:t>
      </w:r>
      <w:r>
        <w:t xml:space="preserve"> countries</w:t>
      </w:r>
      <w:r w:rsidR="00BE6848">
        <w:t>, 73 of which were considered developing</w:t>
      </w:r>
      <w:r>
        <w:t xml:space="preserve"> (</w:t>
      </w:r>
      <w:r w:rsidR="00BE6848" w:rsidRPr="00341F36">
        <w:t>http://one.wfp.org/operations/Procurement/food_pro_map_08/fpm_popup/fpm_popup.html</w:t>
      </w:r>
      <w:r>
        <w:t xml:space="preserve">). Furthermore, local or regional purchases are increasingly an option with some donor or private resources. </w:t>
      </w:r>
    </w:p>
    <w:p w14:paraId="6A339A19" w14:textId="77777777" w:rsidR="0027044F" w:rsidRDefault="0027044F" w:rsidP="0027044F">
      <w:pPr>
        <w:tabs>
          <w:tab w:val="left" w:pos="720"/>
        </w:tabs>
      </w:pPr>
    </w:p>
    <w:p w14:paraId="58ABAFA2" w14:textId="77777777" w:rsidR="0027044F" w:rsidRDefault="0027044F" w:rsidP="0027044F">
      <w:pPr>
        <w:tabs>
          <w:tab w:val="left" w:pos="720"/>
        </w:tabs>
      </w:pPr>
      <w:r>
        <w:t>As with the first core question, this second question can be broken into three related sub-questions:</w:t>
      </w:r>
    </w:p>
    <w:p w14:paraId="4D7DD209" w14:textId="77777777" w:rsidR="0027044F" w:rsidRDefault="0027044F" w:rsidP="0027044F">
      <w:pPr>
        <w:tabs>
          <w:tab w:val="left" w:pos="720"/>
        </w:tabs>
      </w:pPr>
    </w:p>
    <w:p w14:paraId="6EEF8A98" w14:textId="77777777" w:rsidR="0027044F" w:rsidRPr="00A17763" w:rsidRDefault="0027044F" w:rsidP="0027044F">
      <w:pPr>
        <w:tabs>
          <w:tab w:val="left" w:pos="720"/>
        </w:tabs>
        <w:rPr>
          <w:b/>
        </w:rPr>
      </w:pPr>
      <w:r w:rsidRPr="00A17763">
        <w:rPr>
          <w:b/>
        </w:rPr>
        <w:t>2a. Where are viable prospective source markets?</w:t>
      </w:r>
    </w:p>
    <w:p w14:paraId="76A4D590" w14:textId="77777777" w:rsidR="0027044F" w:rsidRDefault="0027044F" w:rsidP="0027044F">
      <w:pPr>
        <w:rPr>
          <w:b/>
        </w:rPr>
      </w:pPr>
      <w:r>
        <w:rPr>
          <w:b/>
        </w:rPr>
        <w:t xml:space="preserve">2b. Will agency purchases drive up food prices excessively in source markets? </w:t>
      </w:r>
    </w:p>
    <w:p w14:paraId="2CA1E854" w14:textId="77777777" w:rsidR="0027044F" w:rsidRDefault="0027044F" w:rsidP="0027044F">
      <w:r>
        <w:rPr>
          <w:b/>
        </w:rPr>
        <w:t xml:space="preserve">2c. Will local or regional purchases affect producer prices differently than transoceanic shipments? </w:t>
      </w:r>
    </w:p>
    <w:p w14:paraId="5A5AB176" w14:textId="77777777" w:rsidR="005C7A14" w:rsidRDefault="005C7A14"/>
    <w:p w14:paraId="2FC22ED0" w14:textId="77777777" w:rsidR="008F3467" w:rsidRDefault="008F3467" w:rsidP="008F3467">
      <w:r w:rsidRPr="004E5D5B">
        <w:t>If some food aid deliveries are</w:t>
      </w:r>
      <w:r>
        <w:t xml:space="preserve"> deemed</w:t>
      </w:r>
      <w:r w:rsidRPr="004E5D5B">
        <w:t xml:space="preserve"> necessary</w:t>
      </w:r>
      <w:r>
        <w:t xml:space="preserve"> per the decision tree of question 1, </w:t>
      </w:r>
      <w:r w:rsidRPr="004E5D5B">
        <w:t>question 2 help</w:t>
      </w:r>
      <w:r>
        <w:t>s</w:t>
      </w:r>
      <w:r w:rsidRPr="004E5D5B">
        <w:t xml:space="preserve"> the analyst identify which possible local </w:t>
      </w:r>
      <w:r>
        <w:t>or</w:t>
      </w:r>
      <w:r w:rsidRPr="004E5D5B">
        <w:t xml:space="preserve"> regional </w:t>
      </w:r>
      <w:r>
        <w:t xml:space="preserve">market </w:t>
      </w:r>
      <w:r w:rsidRPr="004E5D5B">
        <w:t xml:space="preserve">sources </w:t>
      </w:r>
      <w:r>
        <w:t xml:space="preserve">would likely </w:t>
      </w:r>
      <w:r w:rsidRPr="004E5D5B">
        <w:t>provide the most cost effective and timely supply, while minimizing harmful price effects to consumers in source market</w:t>
      </w:r>
      <w:r>
        <w:t>s</w:t>
      </w:r>
      <w:r w:rsidRPr="004E5D5B">
        <w:t xml:space="preserve"> and to producers in the </w:t>
      </w:r>
      <w:r>
        <w:t>target delivery market(s)</w:t>
      </w:r>
      <w:r w:rsidRPr="004E5D5B">
        <w:t xml:space="preserve">. Once candidate markets have been identified based on available supply, comparing transport capacities, inter-country and intra-country regulations on moving food, and availability of traders regularly engaged in moving large quantities of food can further narrow the search for the best source market (2a). Among these ideal source markets, the tools in sections 1b and 1d </w:t>
      </w:r>
      <w:r>
        <w:t xml:space="preserve">enable analysts </w:t>
      </w:r>
      <w:r w:rsidRPr="004E5D5B">
        <w:t xml:space="preserve">to examine the potential impact of purchasing food on the source market, </w:t>
      </w:r>
      <w:r>
        <w:t xml:space="preserve">in order </w:t>
      </w:r>
      <w:r w:rsidRPr="004E5D5B">
        <w:t xml:space="preserve">to limit prospective harm to non-beneficiaries </w:t>
      </w:r>
      <w:r>
        <w:t>who buy food in</w:t>
      </w:r>
      <w:r w:rsidRPr="004E5D5B">
        <w:t xml:space="preserve"> that </w:t>
      </w:r>
      <w:r>
        <w:t>same</w:t>
      </w:r>
      <w:r w:rsidRPr="004E5D5B">
        <w:t xml:space="preserve"> market. </w:t>
      </w:r>
      <w:r>
        <w:t>Intuitive</w:t>
      </w:r>
      <w:r w:rsidRPr="004E5D5B">
        <w:t>ly, the smaller the purchase relative to the overall market</w:t>
      </w:r>
      <w:r>
        <w:t xml:space="preserve"> size</w:t>
      </w:r>
      <w:r w:rsidRPr="004E5D5B">
        <w:t xml:space="preserve">, the smaller </w:t>
      </w:r>
      <w:r>
        <w:t>the</w:t>
      </w:r>
      <w:r w:rsidRPr="004E5D5B">
        <w:t xml:space="preserve"> potential </w:t>
      </w:r>
      <w:r>
        <w:t xml:space="preserve">unintended price </w:t>
      </w:r>
      <w:r w:rsidRPr="004E5D5B">
        <w:t xml:space="preserve">impact (2b).  </w:t>
      </w:r>
      <w:r>
        <w:t>C</w:t>
      </w:r>
      <w:r w:rsidRPr="004E5D5B">
        <w:t xml:space="preserve">omparing how LRP food aid may impact producer prices differently than transoceanic food aid is the final step in identifying the best source of food aid. </w:t>
      </w:r>
      <w:r>
        <w:t>Delivering a</w:t>
      </w:r>
      <w:r w:rsidRPr="004E5D5B">
        <w:t xml:space="preserve">ppropriate forms of food aid </w:t>
      </w:r>
      <w:r>
        <w:t>to</w:t>
      </w:r>
      <w:r w:rsidRPr="004E5D5B">
        <w:t xml:space="preserve"> beneficiaries during a lean season or when prices are abnormally high will limit harm to domestic producers (2c).</w:t>
      </w:r>
    </w:p>
    <w:p w14:paraId="478AA599" w14:textId="77777777" w:rsidR="008F3467" w:rsidRDefault="008F3467" w:rsidP="008F3467"/>
    <w:p w14:paraId="2CFFB5BA" w14:textId="77777777" w:rsidR="008F3467" w:rsidRDefault="008F3467" w:rsidP="008F3467">
      <w:r w:rsidRPr="004E5D5B">
        <w:t>When a marketing hub can provide food readily</w:t>
      </w:r>
      <w:r>
        <w:t xml:space="preserve"> and</w:t>
      </w:r>
      <w:r w:rsidRPr="004E5D5B">
        <w:t xml:space="preserve"> cost effectively</w:t>
      </w:r>
      <w:r>
        <w:t xml:space="preserve"> while</w:t>
      </w:r>
      <w:r w:rsidRPr="004E5D5B">
        <w:t xml:space="preserve"> fac</w:t>
      </w:r>
      <w:r>
        <w:t>ing</w:t>
      </w:r>
      <w:r w:rsidRPr="004E5D5B">
        <w:t xml:space="preserve"> minimal delivery delays (2a), purchasing from this marketing hub will have little impact on the hub’s prices (2b), and LRP will arrive at a more seasonally appropriate time than transoceanic shipments</w:t>
      </w:r>
      <w:r>
        <w:t>. Also,if</w:t>
      </w:r>
      <w:r w:rsidRPr="004E5D5B">
        <w:t xml:space="preserve"> the LRP food is more culturally appropriate (2c), then LRP will </w:t>
      </w:r>
      <w:r>
        <w:t xml:space="preserve">typically </w:t>
      </w:r>
      <w:r w:rsidRPr="004E5D5B">
        <w:t xml:space="preserve">be the </w:t>
      </w:r>
      <w:r>
        <w:t>preferred procurement mode</w:t>
      </w:r>
      <w:r w:rsidRPr="004E5D5B">
        <w:t xml:space="preserve"> for food aid.</w:t>
      </w:r>
      <w:r>
        <w:t xml:space="preserve">  Conversely, </w:t>
      </w:r>
      <w:r w:rsidRPr="004E5D5B">
        <w:t>when local or regional marketing hubs do not have adequate supply or will face long delays in moving the food to the domestic distribution area (2a), purchasing from these hubs will significantly drive up prices</w:t>
      </w:r>
      <w:r>
        <w:t>,</w:t>
      </w:r>
      <w:r w:rsidRPr="004E5D5B">
        <w:t xml:space="preserve"> harming source-market consumers (2b)</w:t>
      </w:r>
      <w:r>
        <w:t>. Also, if</w:t>
      </w:r>
      <w:r w:rsidRPr="004E5D5B">
        <w:t xml:space="preserve"> </w:t>
      </w:r>
      <w:r>
        <w:t xml:space="preserve">deliveries of </w:t>
      </w:r>
      <w:r w:rsidRPr="004E5D5B">
        <w:t>LRP</w:t>
      </w:r>
      <w:r>
        <w:t xml:space="preserve"> food</w:t>
      </w:r>
      <w:r w:rsidRPr="004E5D5B">
        <w:t xml:space="preserve"> ar</w:t>
      </w:r>
      <w:r>
        <w:t>e more likely than transoceanic shipments to</w:t>
      </w:r>
      <w:r w:rsidRPr="004E5D5B">
        <w:t xml:space="preserve"> coincide</w:t>
      </w:r>
      <w:r>
        <w:t xml:space="preserve"> with or follow soon after</w:t>
      </w:r>
      <w:r w:rsidRPr="004E5D5B">
        <w:t xml:space="preserve"> a harvest</w:t>
      </w:r>
      <w:r>
        <w:t>,</w:t>
      </w:r>
      <w:r w:rsidRPr="004E5D5B">
        <w:t xml:space="preserve"> or food </w:t>
      </w:r>
      <w:r>
        <w:t xml:space="preserve">available in local or regional markets </w:t>
      </w:r>
      <w:r w:rsidRPr="004E5D5B">
        <w:t xml:space="preserve">is not culturally appropriate, </w:t>
      </w:r>
      <w:r>
        <w:t xml:space="preserve">then </w:t>
      </w:r>
      <w:r w:rsidRPr="004E5D5B">
        <w:t>transoceanic shipments are preferred.</w:t>
      </w:r>
      <w:r>
        <w:t xml:space="preserve"> This disaggregated decision tree is reflected below.</w:t>
      </w:r>
    </w:p>
    <w:p w14:paraId="68EB5D8F" w14:textId="77777777" w:rsidR="008F3467" w:rsidRDefault="008F3467" w:rsidP="008F3467"/>
    <w:p w14:paraId="2871319C" w14:textId="77777777" w:rsidR="008F3467" w:rsidRDefault="008F3467" w:rsidP="008F3467">
      <w:pPr>
        <w:rPr>
          <w:b/>
          <w:bCs/>
        </w:rPr>
      </w:pPr>
      <w:r w:rsidRPr="00065767">
        <w:rPr>
          <w:b/>
          <w:bCs/>
        </w:rPr>
        <w:t>Second Stage of Market Information and Food Insecurity Response Analysis, Addressing the Question “Is there sufficient food available nearby to fill the gap?</w:t>
      </w:r>
    </w:p>
    <w:p w14:paraId="1988EE6A" w14:textId="77777777" w:rsidR="008F3467" w:rsidRDefault="008F3467" w:rsidP="008F3467">
      <w:r w:rsidRPr="00065767">
        <w:rPr>
          <w:noProof/>
          <w:lang w:eastAsia="en-US"/>
        </w:rPr>
        <w:drawing>
          <wp:inline distT="0" distB="0" distL="0" distR="0" wp14:anchorId="42F48FA0" wp14:editId="3B36C04C">
            <wp:extent cx="5486400" cy="3505200"/>
            <wp:effectExtent l="0" t="0" r="0" b="0"/>
            <wp:docPr id="11" name="P 8" descr="MIFIRA Q2.pdf"/>
            <wp:cNvGraphicFramePr/>
            <a:graphic xmlns:a="http://schemas.openxmlformats.org/drawingml/2006/main">
              <a:graphicData uri="http://schemas.openxmlformats.org/drawingml/2006/picture">
                <pic:pic xmlns:pic="http://schemas.openxmlformats.org/drawingml/2006/picture">
                  <pic:nvPicPr>
                    <pic:cNvPr id="0" name="Content Placeholder 5" descr="MIFIRA Q2.pdf"/>
                    <pic:cNvPicPr>
                      <a:picLocks noGrp="1" noChangeAspect="1"/>
                    </pic:cNvPicPr>
                  </pic:nvPicPr>
                  <pic:blipFill>
                    <a:blip r:embed="rId32" cstate="print"/>
                    <a:srcRect l="-2271" r="-2271"/>
                    <a:stretch>
                      <a:fillRect/>
                    </a:stretch>
                  </pic:blipFill>
                  <pic:spPr bwMode="auto">
                    <a:xfrm>
                      <a:off x="0" y="0"/>
                      <a:ext cx="5486400" cy="3505200"/>
                    </a:xfrm>
                    <a:prstGeom prst="rect">
                      <a:avLst/>
                    </a:prstGeom>
                    <a:noFill/>
                    <a:ln w="12700">
                      <a:noFill/>
                      <a:miter lim="800000"/>
                      <a:headEnd/>
                      <a:tailEnd/>
                    </a:ln>
                  </pic:spPr>
                </pic:pic>
              </a:graphicData>
            </a:graphic>
          </wp:inline>
        </w:drawing>
      </w:r>
    </w:p>
    <w:p w14:paraId="352F0996" w14:textId="77777777" w:rsidR="008F3467" w:rsidRPr="00660C7F" w:rsidRDefault="008F3467" w:rsidP="008F3467">
      <w:pPr>
        <w:rPr>
          <w:i/>
        </w:rPr>
      </w:pPr>
      <w:r>
        <w:t>Source: Barrett et al. 2009.</w:t>
      </w:r>
    </w:p>
    <w:p w14:paraId="688F985B" w14:textId="77777777" w:rsidR="008F3467" w:rsidRDefault="008F3467" w:rsidP="008F3467"/>
    <w:p w14:paraId="67D4C53B" w14:textId="7F0B6686" w:rsidR="008F3467" w:rsidRDefault="008F3467" w:rsidP="008F3467">
      <w:r w:rsidRPr="004E5D5B">
        <w:t xml:space="preserve">As with question 1, question 2 will not always yield </w:t>
      </w:r>
      <w:r>
        <w:t xml:space="preserve">unequivocal </w:t>
      </w:r>
      <w:r w:rsidRPr="004E5D5B">
        <w:t xml:space="preserve">answers. Analysts need to weigh the relative importance of each aspect in the particular contexts they face. </w:t>
      </w:r>
      <w:r>
        <w:t>For example, d</w:t>
      </w:r>
      <w:r w:rsidRPr="004E5D5B">
        <w:t>uring rapid</w:t>
      </w:r>
      <w:r>
        <w:t xml:space="preserve"> </w:t>
      </w:r>
      <w:r w:rsidRPr="004E5D5B">
        <w:t xml:space="preserve">onset emergencies, the speed of delivery </w:t>
      </w:r>
      <w:r>
        <w:t>is especially important</w:t>
      </w:r>
      <w:r w:rsidRPr="004E5D5B">
        <w:t xml:space="preserve">. </w:t>
      </w:r>
      <w:r>
        <w:t>This relates back to contingency planning, prepos</w:t>
      </w:r>
      <w:r w:rsidR="00324D24">
        <w:t>itioning and early warning, all-</w:t>
      </w:r>
      <w:r>
        <w:t xml:space="preserve">important programming concerns, but ones not directly addressed by MIFIRA. </w:t>
      </w:r>
      <w:r w:rsidRPr="004E5D5B">
        <w:t>During slower</w:t>
      </w:r>
      <w:r>
        <w:t xml:space="preserve"> </w:t>
      </w:r>
      <w:r w:rsidRPr="004E5D5B">
        <w:t xml:space="preserve">onset or chronic crises, ensuring </w:t>
      </w:r>
      <w:r>
        <w:t xml:space="preserve">that domestic producers are not harmed in a way </w:t>
      </w:r>
      <w:r w:rsidRPr="004E5D5B">
        <w:t xml:space="preserve">that could render them more susceptible to future crises may be a top priority. Similarly, if an entire region is at risk, </w:t>
      </w:r>
      <w:r>
        <w:t xml:space="preserve">the desire to </w:t>
      </w:r>
      <w:r w:rsidRPr="004E5D5B">
        <w:t>avoid spreading price increases to nearby</w:t>
      </w:r>
      <w:r>
        <w:t>,</w:t>
      </w:r>
      <w:r w:rsidRPr="004E5D5B">
        <w:t xml:space="preserve"> vulnerable marketing hubs may point to transoceanic shipments. Finally, </w:t>
      </w:r>
      <w:r>
        <w:t xml:space="preserve">when done correctly, </w:t>
      </w:r>
      <w:r w:rsidRPr="004E5D5B">
        <w:t xml:space="preserve">food purchased locally or regionally </w:t>
      </w:r>
      <w:r>
        <w:t xml:space="preserve">could </w:t>
      </w:r>
      <w:r w:rsidRPr="004E5D5B">
        <w:t>ha</w:t>
      </w:r>
      <w:r>
        <w:t xml:space="preserve">ve </w:t>
      </w:r>
      <w:r w:rsidRPr="004E5D5B">
        <w:t xml:space="preserve">the added benefit of supporting local and regional producers and traders. This support could </w:t>
      </w:r>
      <w:r>
        <w:t>also</w:t>
      </w:r>
      <w:r w:rsidRPr="004E5D5B">
        <w:t xml:space="preserve"> improv</w:t>
      </w:r>
      <w:r>
        <w:t>e</w:t>
      </w:r>
      <w:r w:rsidRPr="004E5D5B">
        <w:t xml:space="preserve"> market ties, possibly lessening the need for </w:t>
      </w:r>
      <w:r>
        <w:t>later</w:t>
      </w:r>
      <w:r w:rsidRPr="004E5D5B">
        <w:t xml:space="preserve"> external intervention</w:t>
      </w:r>
      <w:r>
        <w:t>s in the form of food shipments.</w:t>
      </w:r>
    </w:p>
    <w:p w14:paraId="43A4080B" w14:textId="77777777" w:rsidR="00DC317D" w:rsidRDefault="00DC317D"/>
    <w:p w14:paraId="06D569DD" w14:textId="0355D3FE" w:rsidR="00DC317D" w:rsidRPr="00DE7C55" w:rsidRDefault="00016B47" w:rsidP="00DC317D">
      <w:r w:rsidRPr="002868BE">
        <w:t>Different m</w:t>
      </w:r>
      <w:r w:rsidR="00DE5A9E" w:rsidRPr="002868BE">
        <w:t xml:space="preserve">arket assessments for response may require </w:t>
      </w:r>
      <w:r w:rsidR="00A74B6E" w:rsidRPr="002868BE">
        <w:t>varying</w:t>
      </w:r>
      <w:r w:rsidR="00DE5A9E" w:rsidRPr="002868BE">
        <w:t xml:space="preserve"> levels of rigor. For example, interventions in new areas or </w:t>
      </w:r>
      <w:r w:rsidRPr="002868BE">
        <w:t>with</w:t>
      </w:r>
      <w:r w:rsidR="00DE5A9E" w:rsidRPr="002868BE">
        <w:t xml:space="preserve"> new resources, large scale interventions, and interventions in remote areas all could benefit from a more in-depth analysis than interventions responding to a rapid-onset crisis</w:t>
      </w:r>
      <w:r w:rsidR="002868BE">
        <w:t xml:space="preserve"> or interventions where baseline data exist</w:t>
      </w:r>
      <w:r w:rsidR="00DE5A9E" w:rsidRPr="002868BE">
        <w:t xml:space="preserve">.  </w:t>
      </w:r>
      <w:r w:rsidRPr="002868BE">
        <w:t>The</w:t>
      </w:r>
      <w:r w:rsidR="00DE7C55" w:rsidRPr="002868BE">
        <w:t xml:space="preserve"> need for and</w:t>
      </w:r>
      <w:r w:rsidRPr="002868BE">
        <w:t xml:space="preserve"> feasibility of complex analyses</w:t>
      </w:r>
      <w:r w:rsidR="00DE5A9E" w:rsidRPr="002868BE">
        <w:t xml:space="preserve"> will depend on a number of different factors:</w:t>
      </w:r>
    </w:p>
    <w:p w14:paraId="444AF663" w14:textId="77777777" w:rsidR="00DC317D" w:rsidRPr="005F53AE" w:rsidRDefault="00DE5A9E" w:rsidP="00DC317D">
      <w:pPr>
        <w:numPr>
          <w:ilvl w:val="0"/>
          <w:numId w:val="26"/>
        </w:numPr>
      </w:pPr>
      <w:r w:rsidRPr="005F53AE">
        <w:t>Data availability</w:t>
      </w:r>
    </w:p>
    <w:p w14:paraId="0ADB0929" w14:textId="77777777" w:rsidR="00DC317D" w:rsidRPr="005F53AE" w:rsidRDefault="00DE5A9E" w:rsidP="00DC317D">
      <w:pPr>
        <w:numPr>
          <w:ilvl w:val="0"/>
          <w:numId w:val="26"/>
        </w:numPr>
      </w:pPr>
      <w:r w:rsidRPr="005F53AE">
        <w:t>Capacity</w:t>
      </w:r>
    </w:p>
    <w:p w14:paraId="0FFB3187" w14:textId="77777777" w:rsidR="00DC317D" w:rsidRPr="005F53AE" w:rsidRDefault="00DE5A9E" w:rsidP="00DC317D">
      <w:pPr>
        <w:numPr>
          <w:ilvl w:val="0"/>
          <w:numId w:val="26"/>
        </w:numPr>
      </w:pPr>
      <w:r w:rsidRPr="005F53AE">
        <w:t>Time-frame</w:t>
      </w:r>
    </w:p>
    <w:p w14:paraId="32A7D465" w14:textId="77777777" w:rsidR="00DC317D" w:rsidRPr="005F53AE" w:rsidRDefault="00DE5A9E" w:rsidP="00DC317D">
      <w:pPr>
        <w:numPr>
          <w:ilvl w:val="0"/>
          <w:numId w:val="26"/>
        </w:numPr>
      </w:pPr>
      <w:r w:rsidRPr="005F53AE">
        <w:t>Resources available</w:t>
      </w:r>
    </w:p>
    <w:p w14:paraId="6B8C040D" w14:textId="77777777" w:rsidR="00DC317D" w:rsidRPr="002E215A" w:rsidRDefault="00DE5A9E" w:rsidP="00DC317D">
      <w:pPr>
        <w:numPr>
          <w:ilvl w:val="0"/>
          <w:numId w:val="26"/>
        </w:numPr>
      </w:pPr>
      <w:r w:rsidRPr="005F53AE">
        <w:t xml:space="preserve">Type of </w:t>
      </w:r>
      <w:r w:rsidRPr="002E215A">
        <w:t>emergency</w:t>
      </w:r>
    </w:p>
    <w:p w14:paraId="75844CFF" w14:textId="77777777" w:rsidR="00DC317D" w:rsidRPr="002E215A" w:rsidRDefault="00DE5A9E" w:rsidP="00DC317D">
      <w:pPr>
        <w:numPr>
          <w:ilvl w:val="0"/>
          <w:numId w:val="26"/>
        </w:numPr>
      </w:pPr>
      <w:r w:rsidRPr="002E215A">
        <w:t>Expected size of intervention</w:t>
      </w:r>
    </w:p>
    <w:p w14:paraId="6F8AD097" w14:textId="77777777" w:rsidR="00DC317D" w:rsidRPr="002E215A" w:rsidRDefault="00DC317D" w:rsidP="00DC317D"/>
    <w:p w14:paraId="3B7117BC" w14:textId="77777777" w:rsidR="009C5699" w:rsidRDefault="00DE5A9E" w:rsidP="00DC317D">
      <w:r w:rsidRPr="002E215A">
        <w:t xml:space="preserve">It is nearly impossible to anticipate every aspect of market failures or weak </w:t>
      </w:r>
      <w:r w:rsidR="00016B47">
        <w:t xml:space="preserve">market </w:t>
      </w:r>
      <w:r w:rsidRPr="002E215A">
        <w:t xml:space="preserve">functioning. Therefore, team members may have to expand or revise analytical tools and surveys in order to examine the current situation. </w:t>
      </w:r>
    </w:p>
    <w:p w14:paraId="371956FA" w14:textId="77777777" w:rsidR="007237C4" w:rsidRDefault="007237C4" w:rsidP="00DC317D"/>
    <w:p w14:paraId="64987E5E" w14:textId="77777777" w:rsidR="000B1D72" w:rsidRPr="00055FF2" w:rsidRDefault="000B1D72" w:rsidP="000B1D72">
      <w:pPr>
        <w:rPr>
          <w:b/>
        </w:rPr>
      </w:pPr>
      <w:r w:rsidRPr="00055FF2">
        <w:rPr>
          <w:b/>
        </w:rPr>
        <w:t>Scales of analysis</w:t>
      </w:r>
    </w:p>
    <w:p w14:paraId="4934D468" w14:textId="77777777" w:rsidR="000B1D72" w:rsidRDefault="000B1D72" w:rsidP="000B1D72">
      <w:r>
        <w:t xml:space="preserve">Some MIFIRA questions must be answered both at the national and regional (macro) levels and at local marketshed (meso) level, while others must be answered at the household (micro) level. One approach to implementing the framework is to consider the data collection and analysis processes at these three distinct – micro, meso, and macro– scales of analysis. The existence of multiple scales of analysis raises the possibility of analysts and agencies involved in the response to a given food insecurity context to divide their labor according to comparative advantage. </w:t>
      </w:r>
    </w:p>
    <w:p w14:paraId="0AC58814" w14:textId="77777777" w:rsidR="000B1D72" w:rsidRDefault="000B1D72" w:rsidP="000B1D72"/>
    <w:p w14:paraId="57022920" w14:textId="77777777" w:rsidR="000B1D72" w:rsidRDefault="000B1D72" w:rsidP="000B1D72">
      <w:r>
        <w:t xml:space="preserve">District governments and NGOs typically have a comparative advantage in collecting primary data at the household (micro) level because of their field presence and relatively more nuanced understanding of the communities in which they work. Local agencies sometimes also have a comparative advantage in collecting and analyzing primary data at the meso-level linking the community’s marketshed to the broader national and regional economies. However, understanding markets at the meso-level often requires more economic analysis and better access to a mixture of primary and secondary data than does understanding household-level relations to markets.  Thus meso-level data collection and analyses are sometimes beyond the capacity of local governments and NGOs and are better handled by national governments, donors or regional organizations. At the macro level, understanding national and regional markets typically requires ongoing monitoring and analysis of secondary data, often complemented with key informant interviews. These tasks commonly require staff and skills beyond the reach of smaller local governments and NGOs and fit with national government, donor and regional organization mandates.  The figure below depicts a typical assignment of MIFIRA market analysis questions to the most relevant level of analysis, as well as the inherent complementarity of different agencies’ skills, as reflected in the width of the twinned triangles at any given scale of analysis. </w:t>
      </w:r>
    </w:p>
    <w:p w14:paraId="08F0A3DE" w14:textId="77777777" w:rsidR="000B1D72" w:rsidRDefault="000B1D72" w:rsidP="000B1D72"/>
    <w:p w14:paraId="02617B4A" w14:textId="245BD9B4" w:rsidR="000B1D72" w:rsidRDefault="000B1D72" w:rsidP="000B1D72">
      <w:r>
        <w:t>Macro-</w:t>
      </w:r>
      <w:r w:rsidRPr="00BB2500">
        <w:t>scale analyses examine</w:t>
      </w:r>
      <w:r>
        <w:t xml:space="preserve"> whether traders are likely to increase supply at reasonable prices (question 1c) and, whether they behave competitively (question 1d). These analyses require</w:t>
      </w:r>
      <w:r w:rsidRPr="00BB2500">
        <w:t xml:space="preserve"> information on </w:t>
      </w:r>
      <w:r>
        <w:t>international and national</w:t>
      </w:r>
      <w:r w:rsidRPr="00BB2500">
        <w:t xml:space="preserve"> market prices, production, imports, </w:t>
      </w:r>
      <w:r>
        <w:t xml:space="preserve">markets and trade </w:t>
      </w:r>
      <w:r w:rsidRPr="00BB2500">
        <w:t xml:space="preserve">policies, </w:t>
      </w:r>
      <w:r>
        <w:t>the number and characteristics of major traders,</w:t>
      </w:r>
      <w:r w:rsidRPr="00BB2500">
        <w:t xml:space="preserve"> etc.</w:t>
      </w:r>
      <w:r>
        <w:t xml:space="preserve"> Collecting and analyzing such data is costly. Food security monitoring groups and early warning systems supported by governments, donors, UN agencies, and consortiums of government agencies and NGOs already collect and synthesize much of the relevant macro data such as import parity prices, and whether/how trade policies pose barriers to the timely and affordable commercial import of food. Obtaining key analyses and data from established sources can help agencies avoid reinventing the wheel.</w:t>
      </w:r>
    </w:p>
    <w:p w14:paraId="70C37CE1" w14:textId="77777777" w:rsidR="000B1D72" w:rsidRDefault="000B1D72" w:rsidP="000B1D72"/>
    <w:p w14:paraId="169AAA05" w14:textId="77777777" w:rsidR="000B1D72" w:rsidRPr="00F73F01" w:rsidRDefault="000B1D72" w:rsidP="000B1D72">
      <w:pPr>
        <w:rPr>
          <w:b/>
        </w:rPr>
      </w:pPr>
      <w:r>
        <w:rPr>
          <w:b/>
        </w:rPr>
        <w:t>MIFIRA Scales of Analysis</w:t>
      </w:r>
    </w:p>
    <w:p w14:paraId="467949F9" w14:textId="77777777" w:rsidR="000B1D72" w:rsidRDefault="000B1D72" w:rsidP="000B1D72">
      <w:r w:rsidRPr="00B51F18">
        <w:rPr>
          <w:noProof/>
          <w:lang w:eastAsia="en-US"/>
        </w:rPr>
        <w:drawing>
          <wp:inline distT="0" distB="0" distL="0" distR="0" wp14:anchorId="657A30A9" wp14:editId="1BA9BF67">
            <wp:extent cx="5486400" cy="3505200"/>
            <wp:effectExtent l="0" t="0" r="0" b="0"/>
            <wp:docPr id="13" name="P 10" descr="MIFIRA Scales.pdf"/>
            <wp:cNvGraphicFramePr/>
            <a:graphic xmlns:a="http://schemas.openxmlformats.org/drawingml/2006/main">
              <a:graphicData uri="http://schemas.openxmlformats.org/drawingml/2006/picture">
                <pic:pic xmlns:pic="http://schemas.openxmlformats.org/drawingml/2006/picture">
                  <pic:nvPicPr>
                    <pic:cNvPr id="0" name="Content Placeholder 4" descr="MIFIRA Scales.pdf"/>
                    <pic:cNvPicPr>
                      <a:picLocks noGrp="1" noChangeAspect="1"/>
                    </pic:cNvPicPr>
                  </pic:nvPicPr>
                  <pic:blipFill>
                    <a:blip r:embed="rId33" cstate="print"/>
                    <a:srcRect l="-30582" r="-30582"/>
                    <a:stretch>
                      <a:fillRect/>
                    </a:stretch>
                  </pic:blipFill>
                  <pic:spPr bwMode="auto">
                    <a:xfrm>
                      <a:off x="0" y="0"/>
                      <a:ext cx="5486400" cy="3505200"/>
                    </a:xfrm>
                    <a:prstGeom prst="rect">
                      <a:avLst/>
                    </a:prstGeom>
                    <a:noFill/>
                    <a:ln w="12700">
                      <a:noFill/>
                      <a:miter lim="800000"/>
                      <a:headEnd/>
                      <a:tailEnd/>
                    </a:ln>
                  </pic:spPr>
                </pic:pic>
              </a:graphicData>
            </a:graphic>
          </wp:inline>
        </w:drawing>
      </w:r>
    </w:p>
    <w:p w14:paraId="3617AC3A" w14:textId="77777777" w:rsidR="000B1D72" w:rsidRPr="00FC78B8" w:rsidRDefault="000B1D72" w:rsidP="000B1D72">
      <w:pPr>
        <w:rPr>
          <w:i/>
        </w:rPr>
      </w:pPr>
      <w:r>
        <w:t>Source: Barrett et al. 2009.</w:t>
      </w:r>
    </w:p>
    <w:p w14:paraId="4536ED95" w14:textId="77777777" w:rsidR="000B1D72" w:rsidRDefault="000B1D72" w:rsidP="000B1D72"/>
    <w:p w14:paraId="67455607" w14:textId="77777777" w:rsidR="000B1D72" w:rsidRDefault="000B1D72" w:rsidP="000B1D72">
      <w:r>
        <w:t>The meso-scale analysis links the marketsheds relied on by targeted food insecure populations to regional and city markets. Smaller traders are typically able to provide quantitative and qualitative data on general market functioning, competition levels, supply chains, volumes and prices in markets, seasonal differences, costs, and any constraints on their trade. But meso-scale data collection and analysis typically needs to be undertaken from scratch.</w:t>
      </w:r>
    </w:p>
    <w:p w14:paraId="6A022FC5" w14:textId="77777777" w:rsidR="000B1D72" w:rsidRDefault="000B1D72" w:rsidP="000B1D72"/>
    <w:p w14:paraId="70EF819D" w14:textId="77777777" w:rsidR="000B1D72" w:rsidRDefault="000B1D72" w:rsidP="000B1D72">
      <w:pPr>
        <w:rPr>
          <w:u w:val="single"/>
        </w:rPr>
      </w:pPr>
      <w:r w:rsidRPr="00321D6F">
        <w:t>Meso</w:t>
      </w:r>
      <w:r>
        <w:t>-</w:t>
      </w:r>
      <w:r w:rsidRPr="00321D6F">
        <w:t>scale analyses are extremely important and much less commonly available through existing institutions. Most currently available secondary data sources are highly aggregated. Secondary data tend to be collected fr</w:t>
      </w:r>
      <w:r>
        <w:t>om major cities, district capita</w:t>
      </w:r>
      <w:r w:rsidRPr="00321D6F">
        <w:t>ls, or major market centers and are rarely available for smaller market centers. A critical gap in understanding markets remains in determining the relationship between the macro</w:t>
      </w:r>
      <w:r>
        <w:t>-</w:t>
      </w:r>
      <w:r w:rsidRPr="00321D6F">
        <w:t>scale market assessments that are often readily available (i.e., those based on national or regional trading centers) and smaller markets in an agency’s specific programming areas.</w:t>
      </w:r>
    </w:p>
    <w:p w14:paraId="2F4C5734" w14:textId="77777777" w:rsidR="000B1D72" w:rsidRDefault="000B1D72" w:rsidP="000B1D72">
      <w:pPr>
        <w:rPr>
          <w:u w:val="single"/>
        </w:rPr>
      </w:pPr>
    </w:p>
    <w:p w14:paraId="1EBA2069" w14:textId="77777777" w:rsidR="000B1D72" w:rsidRDefault="000B1D72" w:rsidP="000B1D72">
      <w:pPr>
        <w:rPr>
          <w:u w:val="single"/>
        </w:rPr>
      </w:pPr>
      <w:r>
        <w:t>The focus of micro-scale analysis is households’ likely responses to transfers. Generally, some household survey data are available from needs assessments, baseline studies or other related exercises. These data typically provide information on expenditures, income, and consumption, all of which can help in estimating how local demand should respond to transfers (question 1b).</w:t>
      </w:r>
    </w:p>
    <w:p w14:paraId="0CB3B0F6" w14:textId="77777777" w:rsidR="000B1D72" w:rsidRDefault="000B1D72" w:rsidP="00DC317D"/>
    <w:p w14:paraId="4638FEC5" w14:textId="1392AAE1" w:rsidR="008A0564" w:rsidRPr="008A0564" w:rsidRDefault="008A0564" w:rsidP="008A0564">
      <w:pPr>
        <w:pStyle w:val="TOC2"/>
        <w:rPr>
          <w:b/>
        </w:rPr>
      </w:pPr>
      <w:r w:rsidRPr="008A0564">
        <w:rPr>
          <w:b/>
        </w:rPr>
        <w:t>MIFIRA summary</w:t>
      </w:r>
    </w:p>
    <w:p w14:paraId="73C9DACC" w14:textId="5AC2658C" w:rsidR="007237C4" w:rsidRDefault="008A0564" w:rsidP="008A0564">
      <w:pPr>
        <w:pStyle w:val="TOC2"/>
      </w:pPr>
      <w:r w:rsidRPr="008A0564">
        <w:t>T</w:t>
      </w:r>
      <w:r w:rsidR="007237C4" w:rsidRPr="008A0564">
        <w:t>he Market Information and Food Insecurity Response Analysis Framework (MIFIRA) framework has the following objectives, approaches, users, audience, and methodological approach:</w:t>
      </w:r>
    </w:p>
    <w:p w14:paraId="5793D802" w14:textId="77777777" w:rsidR="008A0564" w:rsidRPr="008A0564" w:rsidRDefault="008A0564" w:rsidP="008A0564"/>
    <w:p w14:paraId="4BB4C2BE" w14:textId="709FC691" w:rsidR="00846DDF" w:rsidRPr="00846DDF" w:rsidRDefault="00846DDF" w:rsidP="008A0564">
      <w:pPr>
        <w:rPr>
          <w:i/>
        </w:rPr>
      </w:pPr>
      <w:r w:rsidRPr="00846DDF">
        <w:rPr>
          <w:i/>
        </w:rPr>
        <w:t>Objective</w:t>
      </w:r>
    </w:p>
    <w:p w14:paraId="07ADBB50" w14:textId="77777777" w:rsidR="007237C4" w:rsidRDefault="007237C4" w:rsidP="008A0564">
      <w:r w:rsidRPr="004242FF">
        <w:t>The objective of MIFIRA is to identify the present context of</w:t>
      </w:r>
      <w:r>
        <w:t xml:space="preserve"> </w:t>
      </w:r>
      <w:r w:rsidRPr="004242FF">
        <w:t>the food markets facing the target food insecure population(s) and the likely behavioral response</w:t>
      </w:r>
      <w:r>
        <w:t>s</w:t>
      </w:r>
      <w:r w:rsidRPr="004242FF">
        <w:t xml:space="preserve"> of key market participants – such as traders, importers, households, government, and NGOs – so as to identify the resource most appropriate to the circumstances.  </w:t>
      </w:r>
    </w:p>
    <w:p w14:paraId="37255298" w14:textId="77777777" w:rsidR="00846DDF" w:rsidRDefault="00846DDF" w:rsidP="00846DDF"/>
    <w:p w14:paraId="2EF79D38" w14:textId="77777777" w:rsidR="007237C4" w:rsidRPr="00846DDF" w:rsidRDefault="007237C4" w:rsidP="00846DDF">
      <w:pPr>
        <w:rPr>
          <w:i/>
        </w:rPr>
      </w:pPr>
      <w:r w:rsidRPr="00846DDF">
        <w:rPr>
          <w:i/>
        </w:rPr>
        <w:t>Approach</w:t>
      </w:r>
    </w:p>
    <w:p w14:paraId="6678DF9D" w14:textId="3D171E18" w:rsidR="007237C4" w:rsidRDefault="008A0564" w:rsidP="008A0564">
      <w:r>
        <w:t>Response analysis is d</w:t>
      </w:r>
      <w:r w:rsidR="007237C4">
        <w:t>istinct from a needs assessment</w:t>
      </w:r>
      <w:r>
        <w:t xml:space="preserve">. </w:t>
      </w:r>
      <w:r w:rsidR="007237C4">
        <w:t>MIFIRA identifies a variety of methodological approaches to answering key market analysis questions. Local contexts, data availability, technical capacity, and resources will determine which methodology is most appropriate. Some of these questions need to be answered at both the national and regional levels and local marketshed levels, while others must be answered at the household level.</w:t>
      </w:r>
    </w:p>
    <w:p w14:paraId="25F826FA" w14:textId="77777777" w:rsidR="008A0564" w:rsidRDefault="008A0564" w:rsidP="008A0564"/>
    <w:p w14:paraId="43BAB972" w14:textId="474A2D05" w:rsidR="007237C4" w:rsidRDefault="00846DDF" w:rsidP="00CA3CB0">
      <w:r>
        <w:t>MIFIRA is context neutral. Asking c</w:t>
      </w:r>
      <w:r w:rsidR="007237C4" w:rsidRPr="008D3916">
        <w:t>ontextual</w:t>
      </w:r>
      <w:r>
        <w:t>izing</w:t>
      </w:r>
      <w:r w:rsidR="007237C4" w:rsidRPr="008D3916">
        <w:t xml:space="preserve"> questions</w:t>
      </w:r>
      <w:r w:rsidR="008A0564">
        <w:t xml:space="preserve"> can</w:t>
      </w:r>
      <w:r w:rsidR="007237C4" w:rsidRPr="008D3916">
        <w:t xml:space="preserve"> help to give an overview of the current food insecurity and help to focus the analysis.</w:t>
      </w:r>
      <w:r w:rsidR="007237C4" w:rsidRPr="008A0564">
        <w:rPr>
          <w:rFonts w:ascii="Times New Roman" w:hAnsi="Times New Roman"/>
        </w:rPr>
        <w:t xml:space="preserve"> </w:t>
      </w:r>
      <w:r w:rsidR="008A0564">
        <w:t xml:space="preserve"> </w:t>
      </w:r>
      <w:r w:rsidR="00CA3CB0">
        <w:t>First,</w:t>
      </w:r>
      <w:r>
        <w:t xml:space="preserve"> questions on</w:t>
      </w:r>
      <w:r w:rsidR="00CA3CB0">
        <w:t xml:space="preserve"> c</w:t>
      </w:r>
      <w:r w:rsidR="007237C4">
        <w:t>onsumption patterns and livelihoods</w:t>
      </w:r>
      <w:r w:rsidR="00854A53">
        <w:t xml:space="preserve"> will</w:t>
      </w:r>
      <w:r w:rsidR="008A0564">
        <w:t xml:space="preserve"> inform the</w:t>
      </w:r>
      <w:r w:rsidR="007237C4">
        <w:t xml:space="preserve"> demand for various products in markets and the frequency of market visits</w:t>
      </w:r>
      <w:r w:rsidR="008A0564">
        <w:t xml:space="preserve"> (e.g., </w:t>
      </w:r>
      <w:r w:rsidR="00CA3CB0">
        <w:t>pastoralists may use markets less frequently and may buy different types of foods than farmers). Second, m</w:t>
      </w:r>
      <w:r w:rsidR="007237C4">
        <w:t>arketshed mapping</w:t>
      </w:r>
      <w:r w:rsidR="00CA3CB0">
        <w:t xml:space="preserve"> identifies the</w:t>
      </w:r>
      <w:r w:rsidR="007237C4">
        <w:t xml:space="preserve"> characteristics of markets that may be utilized by recipients and how those markets may have been impacted in the case of an emergency</w:t>
      </w:r>
      <w:r w:rsidR="00854A53">
        <w:t xml:space="preserve">. </w:t>
      </w:r>
    </w:p>
    <w:p w14:paraId="50D14303" w14:textId="77777777" w:rsidR="00AA1D87" w:rsidRDefault="00AA1D87" w:rsidP="00AA1D87"/>
    <w:p w14:paraId="1F2FA630" w14:textId="6BD440AA" w:rsidR="007237C4" w:rsidRDefault="00AA1D87" w:rsidP="00AA1D87">
      <w:r>
        <w:t>A b</w:t>
      </w:r>
      <w:r w:rsidR="007237C4">
        <w:t xml:space="preserve">aseline analysis using MIFIRA questions </w:t>
      </w:r>
      <w:r>
        <w:t>can be u</w:t>
      </w:r>
      <w:r w:rsidR="007237C4">
        <w:t>pdate</w:t>
      </w:r>
      <w:r>
        <w:t>d</w:t>
      </w:r>
      <w:r w:rsidR="007237C4">
        <w:t xml:space="preserve"> following an emergency, onset of food insecurity, or change in market situation</w:t>
      </w:r>
      <w:r>
        <w:t>. In fact,</w:t>
      </w:r>
      <w:r w:rsidR="007237C4">
        <w:t xml:space="preserve"> MIFIRA is </w:t>
      </w:r>
      <w:r>
        <w:t xml:space="preserve">most effective when it is </w:t>
      </w:r>
      <w:r w:rsidR="007237C4">
        <w:t xml:space="preserve">incorporated into disaster preparedness and planning programs in areas that face recurring crises or chronic food insecurity </w:t>
      </w:r>
      <w:r>
        <w:t xml:space="preserve">rather </w:t>
      </w:r>
      <w:r w:rsidR="007237C4">
        <w:t>than when implemented for on-off emergencies.</w:t>
      </w:r>
    </w:p>
    <w:p w14:paraId="020738E9" w14:textId="2A87A289" w:rsidR="007237C4" w:rsidRDefault="007237C4" w:rsidP="001A702B"/>
    <w:p w14:paraId="42A95FDB" w14:textId="77777777" w:rsidR="007237C4" w:rsidRPr="00C404C4" w:rsidRDefault="007237C4" w:rsidP="00C404C4">
      <w:pPr>
        <w:rPr>
          <w:i/>
        </w:rPr>
      </w:pPr>
      <w:r w:rsidRPr="00C404C4">
        <w:rPr>
          <w:i/>
        </w:rPr>
        <w:t>Users</w:t>
      </w:r>
    </w:p>
    <w:p w14:paraId="0E7D1B73" w14:textId="28C91667" w:rsidR="007237C4" w:rsidRDefault="001A702B" w:rsidP="00B32482">
      <w:r>
        <w:t xml:space="preserve">Data needs can be split into primary and secondary sources. </w:t>
      </w:r>
      <w:r w:rsidR="007237C4">
        <w:t>Different users may be well suited to different scales (i.e., national scale, marketshed scale, household scale) of the analysis</w:t>
      </w:r>
      <w:r w:rsidR="00167EDB">
        <w:t>.</w:t>
      </w:r>
      <w:r w:rsidR="00846DDF">
        <w:t xml:space="preserve"> </w:t>
      </w:r>
      <w:r w:rsidR="00167EDB">
        <w:t>F</w:t>
      </w:r>
      <w:r w:rsidR="007237C4">
        <w:t xml:space="preserve">ield staff </w:t>
      </w:r>
      <w:r w:rsidR="00167EDB">
        <w:t>are well placed to collect primary data</w:t>
      </w:r>
      <w:r>
        <w:t xml:space="preserve"> (at the household and marketshed scale)</w:t>
      </w:r>
      <w:r w:rsidR="00167EDB">
        <w:t xml:space="preserve"> while market analysts and technical staff may be well placed to collect secondary data</w:t>
      </w:r>
      <w:r>
        <w:t xml:space="preserve"> (at the national and, sometimes, marketshed scale)</w:t>
      </w:r>
      <w:r w:rsidR="00167EDB">
        <w:t>.</w:t>
      </w:r>
      <w:r>
        <w:t xml:space="preserve"> MIFIRA utilizes much</w:t>
      </w:r>
      <w:r w:rsidRPr="007F487B">
        <w:t xml:space="preserve"> of the technical analyses undertaken by other interested parties, such as government ministries or bureaus, FEWS NET, WFP, vulnerability and assessment committees, etc. </w:t>
      </w:r>
      <w:r w:rsidR="00B32482">
        <w:t xml:space="preserve"> M</w:t>
      </w:r>
      <w:r w:rsidR="007237C4">
        <w:t>arket analyst</w:t>
      </w:r>
      <w:r w:rsidR="00B32482">
        <w:t>s</w:t>
      </w:r>
      <w:r w:rsidR="007237C4">
        <w:t xml:space="preserve"> with field staff support</w:t>
      </w:r>
      <w:r w:rsidR="00B32482">
        <w:t xml:space="preserve"> should undertake </w:t>
      </w:r>
      <w:r w:rsidR="00FB05DA">
        <w:t>data synthesis</w:t>
      </w:r>
      <w:r w:rsidR="00B32482">
        <w:t>.</w:t>
      </w:r>
    </w:p>
    <w:p w14:paraId="2459C91C" w14:textId="77777777" w:rsidR="00A2327A" w:rsidRDefault="00A2327A" w:rsidP="00A2327A"/>
    <w:p w14:paraId="32F060BA" w14:textId="77777777" w:rsidR="00A2327A" w:rsidRPr="00A2327A" w:rsidRDefault="007237C4" w:rsidP="00A2327A">
      <w:pPr>
        <w:rPr>
          <w:i/>
        </w:rPr>
      </w:pPr>
      <w:r w:rsidRPr="00A2327A">
        <w:rPr>
          <w:i/>
        </w:rPr>
        <w:t>Methodological approach</w:t>
      </w:r>
    </w:p>
    <w:p w14:paraId="622A7F86" w14:textId="37C54C9E" w:rsidR="007237C4" w:rsidRPr="002E215A" w:rsidRDefault="00A2327A" w:rsidP="00DC317D">
      <w:r>
        <w:t xml:space="preserve">MIFIRA’s methodological approach is grounded in market analysis, using two framing questions (i.e., </w:t>
      </w:r>
      <w:r w:rsidRPr="006279B8">
        <w:t>Question 1. Are local markets functioning well?</w:t>
      </w:r>
      <w:r>
        <w:t xml:space="preserve">  </w:t>
      </w:r>
      <w:r w:rsidRPr="006279B8">
        <w:t xml:space="preserve">Question 2. </w:t>
      </w:r>
      <w:r>
        <w:t>If not, s</w:t>
      </w:r>
      <w:r w:rsidRPr="006279B8">
        <w:t>s there sufficient food available nearby to fill the gap?</w:t>
      </w:r>
      <w:r>
        <w:t xml:space="preserve">) and a series of sub-questions related to each framing question. </w:t>
      </w:r>
    </w:p>
    <w:p w14:paraId="7CA849E8" w14:textId="77777777" w:rsidR="00DC317D" w:rsidRDefault="00DC317D" w:rsidP="00DC317D">
      <w:pPr>
        <w:rPr>
          <w:rFonts w:ascii="Times New Roman" w:hAnsi="Times New Roman"/>
        </w:rPr>
      </w:pPr>
    </w:p>
    <w:p w14:paraId="4127B9D7" w14:textId="1779C5FE" w:rsidR="007A7EF8" w:rsidRPr="00E47905" w:rsidRDefault="007A7EF8" w:rsidP="002A4606">
      <w:pPr>
        <w:pStyle w:val="TOC2"/>
      </w:pPr>
      <w:r>
        <w:t>Resource transfer choices or combinations will make a difference</w:t>
      </w:r>
      <w:r w:rsidR="002A4606">
        <w:t>. Cash transfers and vouchers</w:t>
      </w:r>
      <w:r w:rsidRPr="00E47905">
        <w:t xml:space="preserve"> support purchasing power and local markets, quickly</w:t>
      </w:r>
      <w:r w:rsidR="002A4606">
        <w:t xml:space="preserve">. </w:t>
      </w:r>
      <w:r w:rsidRPr="00E47905">
        <w:t xml:space="preserve">Local procurement to </w:t>
      </w:r>
      <w:r w:rsidR="002A4606">
        <w:t>enables the</w:t>
      </w:r>
      <w:r w:rsidRPr="00E47905">
        <w:t xml:space="preserve"> use</w:t>
      </w:r>
      <w:r w:rsidR="002A4606">
        <w:t xml:space="preserve"> of</w:t>
      </w:r>
      <w:r w:rsidRPr="00E47905">
        <w:t xml:space="preserve"> local food products</w:t>
      </w:r>
      <w:r w:rsidR="002A4606">
        <w:t xml:space="preserve"> and may energize local markets. Both cash and local purchases</w:t>
      </w:r>
      <w:r w:rsidRPr="00E47905">
        <w:t xml:space="preserve"> </w:t>
      </w:r>
      <w:r w:rsidR="002A4606">
        <w:t xml:space="preserve">can </w:t>
      </w:r>
      <w:r w:rsidRPr="00E47905">
        <w:t>strengthen local food chains and support smallholders</w:t>
      </w:r>
      <w:r w:rsidR="002A4606">
        <w:t>. Lastly, food aid can</w:t>
      </w:r>
      <w:r w:rsidRPr="00E47905">
        <w:t xml:space="preserve"> </w:t>
      </w:r>
      <w:r w:rsidR="007B31AF">
        <w:t xml:space="preserve">provide valuable </w:t>
      </w:r>
      <w:r w:rsidRPr="00E47905">
        <w:t>support</w:t>
      </w:r>
      <w:r w:rsidR="007B31AF">
        <w:t xml:space="preserve"> to</w:t>
      </w:r>
      <w:r w:rsidRPr="00E47905">
        <w:t xml:space="preserve"> people during combined availability and market failures</w:t>
      </w:r>
      <w:r w:rsidR="002A4606">
        <w:t>.</w:t>
      </w:r>
    </w:p>
    <w:p w14:paraId="24986E40" w14:textId="77777777" w:rsidR="00721B2A" w:rsidRDefault="00721B2A" w:rsidP="008F16EE">
      <w:pPr>
        <w:pStyle w:val="Heading1"/>
      </w:pPr>
    </w:p>
    <w:sectPr w:rsidR="00721B2A" w:rsidSect="00721B2A">
      <w:footerReference w:type="even" r:id="rId34"/>
      <w:footerReference w:type="default" r:id="rId35"/>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D30D41" w14:textId="77777777" w:rsidR="00854A53" w:rsidRDefault="00854A53" w:rsidP="00F40D06">
      <w:r>
        <w:separator/>
      </w:r>
    </w:p>
  </w:endnote>
  <w:endnote w:type="continuationSeparator" w:id="0">
    <w:p w14:paraId="5777A57F" w14:textId="77777777" w:rsidR="00854A53" w:rsidRDefault="00854A53" w:rsidP="00F40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58AF1" w14:textId="77777777" w:rsidR="00854A53" w:rsidRDefault="00854A53" w:rsidP="00721B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A033FD" w14:textId="77777777" w:rsidR="00854A53" w:rsidRDefault="00854A53" w:rsidP="004424D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DE764" w14:textId="77777777" w:rsidR="00854A53" w:rsidRDefault="00854A53" w:rsidP="00721B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07C49">
      <w:rPr>
        <w:rStyle w:val="PageNumber"/>
        <w:noProof/>
      </w:rPr>
      <w:t>1</w:t>
    </w:r>
    <w:r>
      <w:rPr>
        <w:rStyle w:val="PageNumber"/>
      </w:rPr>
      <w:fldChar w:fldCharType="end"/>
    </w:r>
  </w:p>
  <w:p w14:paraId="33F2C630" w14:textId="77777777" w:rsidR="00854A53" w:rsidRDefault="00854A53" w:rsidP="004424D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AD7957" w14:textId="77777777" w:rsidR="00854A53" w:rsidRDefault="00854A53" w:rsidP="00F40D06">
      <w:r>
        <w:separator/>
      </w:r>
    </w:p>
  </w:footnote>
  <w:footnote w:type="continuationSeparator" w:id="0">
    <w:p w14:paraId="7F44C4A5" w14:textId="77777777" w:rsidR="00854A53" w:rsidRDefault="00854A53" w:rsidP="00F40D06">
      <w:r>
        <w:continuationSeparator/>
      </w:r>
    </w:p>
  </w:footnote>
  <w:footnote w:id="1">
    <w:p w14:paraId="3029EB6C" w14:textId="77777777" w:rsidR="00854A53" w:rsidRDefault="00854A53" w:rsidP="00136FAA">
      <w:pPr>
        <w:pStyle w:val="FootnoteText"/>
      </w:pPr>
      <w:r>
        <w:rPr>
          <w:rStyle w:val="FootnoteReference"/>
        </w:rPr>
        <w:footnoteRef/>
      </w:r>
      <w:r>
        <w:t xml:space="preserve"> The FAO definition for a marketshed is from </w:t>
      </w:r>
      <w:hyperlink r:id="rId1" w:history="1">
        <w:r w:rsidRPr="000D6901">
          <w:rPr>
            <w:rStyle w:val="Hyperlink"/>
          </w:rPr>
          <w:t>http://www.fao.org/economic/esa/seed2d/projects2/marketsseedsdiversity/keyconcepts/en/</w:t>
        </w:r>
      </w:hyperlink>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9367F"/>
    <w:multiLevelType w:val="hybridMultilevel"/>
    <w:tmpl w:val="053409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BF0D4C"/>
    <w:multiLevelType w:val="hybridMultilevel"/>
    <w:tmpl w:val="E3A025AA"/>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099F39BF"/>
    <w:multiLevelType w:val="hybridMultilevel"/>
    <w:tmpl w:val="2BD2A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0C0E66"/>
    <w:multiLevelType w:val="hybridMultilevel"/>
    <w:tmpl w:val="100E4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FE52C5"/>
    <w:multiLevelType w:val="hybridMultilevel"/>
    <w:tmpl w:val="479EE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1B0F1D"/>
    <w:multiLevelType w:val="hybridMultilevel"/>
    <w:tmpl w:val="F5F2F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E9381D"/>
    <w:multiLevelType w:val="hybridMultilevel"/>
    <w:tmpl w:val="D1740F94"/>
    <w:lvl w:ilvl="0" w:tplc="000104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F964D4"/>
    <w:multiLevelType w:val="hybridMultilevel"/>
    <w:tmpl w:val="3C167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F11FC7"/>
    <w:multiLevelType w:val="hybridMultilevel"/>
    <w:tmpl w:val="877C43DA"/>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nsid w:val="1CEA7C1B"/>
    <w:multiLevelType w:val="hybridMultilevel"/>
    <w:tmpl w:val="D068B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1231DE"/>
    <w:multiLevelType w:val="hybridMultilevel"/>
    <w:tmpl w:val="B5C2889E"/>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25E16F2F"/>
    <w:multiLevelType w:val="hybridMultilevel"/>
    <w:tmpl w:val="700298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246DE4"/>
    <w:multiLevelType w:val="hybridMultilevel"/>
    <w:tmpl w:val="955EAD64"/>
    <w:lvl w:ilvl="0" w:tplc="FFFFFFFF">
      <w:start w:val="1"/>
      <w:numFmt w:val="decimal"/>
      <w:lvlText w:val="%1."/>
      <w:lvlJc w:val="left"/>
      <w:pPr>
        <w:tabs>
          <w:tab w:val="num" w:pos="0"/>
        </w:tabs>
        <w:ind w:left="0" w:hanging="360"/>
      </w:pPr>
      <w:rPr>
        <w:rFonts w:hint="default"/>
      </w:rPr>
    </w:lvl>
    <w:lvl w:ilvl="1" w:tplc="FFFFFFFF">
      <w:start w:val="1"/>
      <w:numFmt w:val="lowerLetter"/>
      <w:lvlText w:val="%2."/>
      <w:lvlJc w:val="left"/>
      <w:pPr>
        <w:tabs>
          <w:tab w:val="num" w:pos="720"/>
        </w:tabs>
        <w:ind w:left="720" w:hanging="360"/>
      </w:pPr>
      <w:rPr>
        <w:rFonts w:hint="default"/>
      </w:rPr>
    </w:lvl>
    <w:lvl w:ilvl="2" w:tplc="FFFFFFFF">
      <w:start w:val="1"/>
      <w:numFmt w:val="lowerRoman"/>
      <w:lvlText w:val="%3."/>
      <w:lvlJc w:val="right"/>
      <w:pPr>
        <w:tabs>
          <w:tab w:val="num" w:pos="1440"/>
        </w:tabs>
        <w:ind w:left="1440" w:hanging="180"/>
      </w:pPr>
    </w:lvl>
    <w:lvl w:ilvl="3" w:tplc="FFFFFFFF">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13">
    <w:nsid w:val="2EB81287"/>
    <w:multiLevelType w:val="hybridMultilevel"/>
    <w:tmpl w:val="FB023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B82D2C"/>
    <w:multiLevelType w:val="hybridMultilevel"/>
    <w:tmpl w:val="B2923C3A"/>
    <w:lvl w:ilvl="0" w:tplc="FFFFFFFF">
      <w:start w:val="1"/>
      <w:numFmt w:val="bullet"/>
      <w:lvlText w:val=""/>
      <w:lvlJc w:val="left"/>
      <w:pPr>
        <w:tabs>
          <w:tab w:val="num" w:pos="360"/>
        </w:tabs>
        <w:ind w:left="360" w:hanging="360"/>
      </w:pPr>
      <w:rPr>
        <w:rFonts w:ascii="Symbol" w:hAnsi="Symbol"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bullet"/>
      <w:lvlText w:val=""/>
      <w:lvlJc w:val="left"/>
      <w:pPr>
        <w:tabs>
          <w:tab w:val="num" w:pos="3600"/>
        </w:tabs>
        <w:ind w:left="3600" w:hanging="360"/>
      </w:pPr>
      <w:rPr>
        <w:rFonts w:ascii="Symbol" w:hAnsi="Symbol"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30FB3A20"/>
    <w:multiLevelType w:val="hybridMultilevel"/>
    <w:tmpl w:val="7AC8B328"/>
    <w:lvl w:ilvl="0" w:tplc="09647BE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A0B0964"/>
    <w:multiLevelType w:val="hybridMultilevel"/>
    <w:tmpl w:val="EEF86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9752AF"/>
    <w:multiLevelType w:val="hybridMultilevel"/>
    <w:tmpl w:val="86C4A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4021EC"/>
    <w:multiLevelType w:val="hybridMultilevel"/>
    <w:tmpl w:val="28326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AC4DF7"/>
    <w:multiLevelType w:val="hybridMultilevel"/>
    <w:tmpl w:val="9B769D7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43F2648D"/>
    <w:multiLevelType w:val="hybridMultilevel"/>
    <w:tmpl w:val="98AEE634"/>
    <w:lvl w:ilvl="0" w:tplc="FFFFFFFF">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4A003B"/>
    <w:multiLevelType w:val="hybridMultilevel"/>
    <w:tmpl w:val="0ADE5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CE480C"/>
    <w:multiLevelType w:val="hybridMultilevel"/>
    <w:tmpl w:val="57A258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B5753E"/>
    <w:multiLevelType w:val="hybridMultilevel"/>
    <w:tmpl w:val="576AEE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027546"/>
    <w:multiLevelType w:val="hybridMultilevel"/>
    <w:tmpl w:val="95182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666A2F"/>
    <w:multiLevelType w:val="hybridMultilevel"/>
    <w:tmpl w:val="DA3CF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31443D"/>
    <w:multiLevelType w:val="hybridMultilevel"/>
    <w:tmpl w:val="4732D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076B7C"/>
    <w:multiLevelType w:val="hybridMultilevel"/>
    <w:tmpl w:val="3906E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A36A5F"/>
    <w:multiLevelType w:val="hybridMultilevel"/>
    <w:tmpl w:val="31665EB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675F76"/>
    <w:multiLevelType w:val="hybridMultilevel"/>
    <w:tmpl w:val="593810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722118"/>
    <w:multiLevelType w:val="hybridMultilevel"/>
    <w:tmpl w:val="A51CB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C761B6"/>
    <w:multiLevelType w:val="hybridMultilevel"/>
    <w:tmpl w:val="778A6AF2"/>
    <w:lvl w:ilvl="0" w:tplc="5D086562">
      <w:start w:val="21"/>
      <w:numFmt w:val="bullet"/>
      <w:lvlText w:val="-"/>
      <w:lvlJc w:val="left"/>
      <w:pPr>
        <w:ind w:left="1080" w:hanging="360"/>
      </w:pPr>
      <w:rPr>
        <w:rFonts w:ascii="Cambria" w:eastAsiaTheme="minorHAnsi"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E9009B7"/>
    <w:multiLevelType w:val="hybridMultilevel"/>
    <w:tmpl w:val="B908D5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117C93"/>
    <w:multiLevelType w:val="hybridMultilevel"/>
    <w:tmpl w:val="BB26338E"/>
    <w:lvl w:ilvl="0" w:tplc="00010409">
      <w:start w:val="1"/>
      <w:numFmt w:val="bullet"/>
      <w:lvlText w:val=""/>
      <w:lvlJc w:val="left"/>
      <w:pPr>
        <w:tabs>
          <w:tab w:val="num" w:pos="720"/>
        </w:tabs>
        <w:ind w:left="720" w:hanging="360"/>
      </w:pPr>
      <w:rPr>
        <w:rFonts w:ascii="Symbol" w:hAnsi="Symbol" w:hint="default"/>
      </w:rPr>
    </w:lvl>
    <w:lvl w:ilvl="1" w:tplc="2D8E69E6">
      <w:start w:val="1"/>
      <w:numFmt w:val="bullet"/>
      <w:lvlText w:val="o"/>
      <w:lvlJc w:val="left"/>
      <w:pPr>
        <w:ind w:left="1440" w:hanging="360"/>
      </w:pPr>
      <w:rPr>
        <w:rFonts w:ascii="Courier New" w:hAnsi="Courier New" w:cs="Times" w:hint="default"/>
      </w:rPr>
    </w:lvl>
    <w:lvl w:ilvl="2" w:tplc="A812F752" w:tentative="1">
      <w:start w:val="1"/>
      <w:numFmt w:val="bullet"/>
      <w:lvlText w:val=""/>
      <w:lvlJc w:val="left"/>
      <w:pPr>
        <w:ind w:left="2160" w:hanging="360"/>
      </w:pPr>
      <w:rPr>
        <w:rFonts w:ascii="Wingdings" w:hAnsi="Wingdings" w:hint="default"/>
      </w:rPr>
    </w:lvl>
    <w:lvl w:ilvl="3" w:tplc="A21A2DF6" w:tentative="1">
      <w:start w:val="1"/>
      <w:numFmt w:val="bullet"/>
      <w:lvlText w:val=""/>
      <w:lvlJc w:val="left"/>
      <w:pPr>
        <w:ind w:left="2880" w:hanging="360"/>
      </w:pPr>
      <w:rPr>
        <w:rFonts w:ascii="Symbol" w:hAnsi="Symbol" w:hint="default"/>
      </w:rPr>
    </w:lvl>
    <w:lvl w:ilvl="4" w:tplc="F8FC3462" w:tentative="1">
      <w:start w:val="1"/>
      <w:numFmt w:val="bullet"/>
      <w:lvlText w:val="o"/>
      <w:lvlJc w:val="left"/>
      <w:pPr>
        <w:ind w:left="3600" w:hanging="360"/>
      </w:pPr>
      <w:rPr>
        <w:rFonts w:ascii="Courier New" w:hAnsi="Courier New" w:cs="Times" w:hint="default"/>
      </w:rPr>
    </w:lvl>
    <w:lvl w:ilvl="5" w:tplc="8916A104" w:tentative="1">
      <w:start w:val="1"/>
      <w:numFmt w:val="bullet"/>
      <w:lvlText w:val=""/>
      <w:lvlJc w:val="left"/>
      <w:pPr>
        <w:ind w:left="4320" w:hanging="360"/>
      </w:pPr>
      <w:rPr>
        <w:rFonts w:ascii="Wingdings" w:hAnsi="Wingdings" w:hint="default"/>
      </w:rPr>
    </w:lvl>
    <w:lvl w:ilvl="6" w:tplc="912C8180" w:tentative="1">
      <w:start w:val="1"/>
      <w:numFmt w:val="bullet"/>
      <w:lvlText w:val=""/>
      <w:lvlJc w:val="left"/>
      <w:pPr>
        <w:ind w:left="5040" w:hanging="360"/>
      </w:pPr>
      <w:rPr>
        <w:rFonts w:ascii="Symbol" w:hAnsi="Symbol" w:hint="default"/>
      </w:rPr>
    </w:lvl>
    <w:lvl w:ilvl="7" w:tplc="8E6CAD7A" w:tentative="1">
      <w:start w:val="1"/>
      <w:numFmt w:val="bullet"/>
      <w:lvlText w:val="o"/>
      <w:lvlJc w:val="left"/>
      <w:pPr>
        <w:ind w:left="5760" w:hanging="360"/>
      </w:pPr>
      <w:rPr>
        <w:rFonts w:ascii="Courier New" w:hAnsi="Courier New" w:cs="Times" w:hint="default"/>
      </w:rPr>
    </w:lvl>
    <w:lvl w:ilvl="8" w:tplc="78043B12" w:tentative="1">
      <w:start w:val="1"/>
      <w:numFmt w:val="bullet"/>
      <w:lvlText w:val=""/>
      <w:lvlJc w:val="left"/>
      <w:pPr>
        <w:ind w:left="6480" w:hanging="360"/>
      </w:pPr>
      <w:rPr>
        <w:rFonts w:ascii="Wingdings" w:hAnsi="Wingdings" w:hint="default"/>
      </w:rPr>
    </w:lvl>
  </w:abstractNum>
  <w:abstractNum w:abstractNumId="34">
    <w:nsid w:val="64177FDB"/>
    <w:multiLevelType w:val="hybridMultilevel"/>
    <w:tmpl w:val="6ED2E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A96857"/>
    <w:multiLevelType w:val="hybridMultilevel"/>
    <w:tmpl w:val="540CA070"/>
    <w:lvl w:ilvl="0" w:tplc="89945AD2">
      <w:start w:val="1"/>
      <w:numFmt w:val="bullet"/>
      <w:lvlText w:val="•"/>
      <w:lvlJc w:val="left"/>
      <w:pPr>
        <w:tabs>
          <w:tab w:val="num" w:pos="720"/>
        </w:tabs>
        <w:ind w:left="720" w:hanging="360"/>
      </w:pPr>
      <w:rPr>
        <w:rFonts w:ascii="Garamond" w:hAnsi="Garamond" w:hint="default"/>
      </w:rPr>
    </w:lvl>
    <w:lvl w:ilvl="1" w:tplc="7BF030FC" w:tentative="1">
      <w:start w:val="1"/>
      <w:numFmt w:val="bullet"/>
      <w:lvlText w:val="•"/>
      <w:lvlJc w:val="left"/>
      <w:pPr>
        <w:tabs>
          <w:tab w:val="num" w:pos="1440"/>
        </w:tabs>
        <w:ind w:left="1440" w:hanging="360"/>
      </w:pPr>
      <w:rPr>
        <w:rFonts w:ascii="Garamond" w:hAnsi="Garamond" w:hint="default"/>
      </w:rPr>
    </w:lvl>
    <w:lvl w:ilvl="2" w:tplc="BDE20FE2" w:tentative="1">
      <w:start w:val="1"/>
      <w:numFmt w:val="bullet"/>
      <w:lvlText w:val="•"/>
      <w:lvlJc w:val="left"/>
      <w:pPr>
        <w:tabs>
          <w:tab w:val="num" w:pos="2160"/>
        </w:tabs>
        <w:ind w:left="2160" w:hanging="360"/>
      </w:pPr>
      <w:rPr>
        <w:rFonts w:ascii="Garamond" w:hAnsi="Garamond" w:hint="default"/>
      </w:rPr>
    </w:lvl>
    <w:lvl w:ilvl="3" w:tplc="8CAE6AD4" w:tentative="1">
      <w:start w:val="1"/>
      <w:numFmt w:val="bullet"/>
      <w:lvlText w:val="•"/>
      <w:lvlJc w:val="left"/>
      <w:pPr>
        <w:tabs>
          <w:tab w:val="num" w:pos="2880"/>
        </w:tabs>
        <w:ind w:left="2880" w:hanging="360"/>
      </w:pPr>
      <w:rPr>
        <w:rFonts w:ascii="Garamond" w:hAnsi="Garamond" w:hint="default"/>
      </w:rPr>
    </w:lvl>
    <w:lvl w:ilvl="4" w:tplc="C05651BC" w:tentative="1">
      <w:start w:val="1"/>
      <w:numFmt w:val="bullet"/>
      <w:lvlText w:val="•"/>
      <w:lvlJc w:val="left"/>
      <w:pPr>
        <w:tabs>
          <w:tab w:val="num" w:pos="3600"/>
        </w:tabs>
        <w:ind w:left="3600" w:hanging="360"/>
      </w:pPr>
      <w:rPr>
        <w:rFonts w:ascii="Garamond" w:hAnsi="Garamond" w:hint="default"/>
      </w:rPr>
    </w:lvl>
    <w:lvl w:ilvl="5" w:tplc="1794E73C" w:tentative="1">
      <w:start w:val="1"/>
      <w:numFmt w:val="bullet"/>
      <w:lvlText w:val="•"/>
      <w:lvlJc w:val="left"/>
      <w:pPr>
        <w:tabs>
          <w:tab w:val="num" w:pos="4320"/>
        </w:tabs>
        <w:ind w:left="4320" w:hanging="360"/>
      </w:pPr>
      <w:rPr>
        <w:rFonts w:ascii="Garamond" w:hAnsi="Garamond" w:hint="default"/>
      </w:rPr>
    </w:lvl>
    <w:lvl w:ilvl="6" w:tplc="90BE3584" w:tentative="1">
      <w:start w:val="1"/>
      <w:numFmt w:val="bullet"/>
      <w:lvlText w:val="•"/>
      <w:lvlJc w:val="left"/>
      <w:pPr>
        <w:tabs>
          <w:tab w:val="num" w:pos="5040"/>
        </w:tabs>
        <w:ind w:left="5040" w:hanging="360"/>
      </w:pPr>
      <w:rPr>
        <w:rFonts w:ascii="Garamond" w:hAnsi="Garamond" w:hint="default"/>
      </w:rPr>
    </w:lvl>
    <w:lvl w:ilvl="7" w:tplc="9A0642FC" w:tentative="1">
      <w:start w:val="1"/>
      <w:numFmt w:val="bullet"/>
      <w:lvlText w:val="•"/>
      <w:lvlJc w:val="left"/>
      <w:pPr>
        <w:tabs>
          <w:tab w:val="num" w:pos="5760"/>
        </w:tabs>
        <w:ind w:left="5760" w:hanging="360"/>
      </w:pPr>
      <w:rPr>
        <w:rFonts w:ascii="Garamond" w:hAnsi="Garamond" w:hint="default"/>
      </w:rPr>
    </w:lvl>
    <w:lvl w:ilvl="8" w:tplc="452E4F6E" w:tentative="1">
      <w:start w:val="1"/>
      <w:numFmt w:val="bullet"/>
      <w:lvlText w:val="•"/>
      <w:lvlJc w:val="left"/>
      <w:pPr>
        <w:tabs>
          <w:tab w:val="num" w:pos="6480"/>
        </w:tabs>
        <w:ind w:left="6480" w:hanging="360"/>
      </w:pPr>
      <w:rPr>
        <w:rFonts w:ascii="Garamond" w:hAnsi="Garamond" w:hint="default"/>
      </w:rPr>
    </w:lvl>
  </w:abstractNum>
  <w:abstractNum w:abstractNumId="36">
    <w:nsid w:val="6BAF5B56"/>
    <w:multiLevelType w:val="hybridMultilevel"/>
    <w:tmpl w:val="950C7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CCF1A7B"/>
    <w:multiLevelType w:val="hybridMultilevel"/>
    <w:tmpl w:val="1A20B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DA376D"/>
    <w:multiLevelType w:val="hybridMultilevel"/>
    <w:tmpl w:val="11C8932E"/>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nsid w:val="6ECE1F39"/>
    <w:multiLevelType w:val="hybridMultilevel"/>
    <w:tmpl w:val="22187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0C5F10"/>
    <w:multiLevelType w:val="hybridMultilevel"/>
    <w:tmpl w:val="6C6E2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7B4BCB"/>
    <w:multiLevelType w:val="hybridMultilevel"/>
    <w:tmpl w:val="F2C65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2DA6AB5"/>
    <w:multiLevelType w:val="hybridMultilevel"/>
    <w:tmpl w:val="F42AA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7A0094F"/>
    <w:multiLevelType w:val="hybridMultilevel"/>
    <w:tmpl w:val="C58AE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C6B714F"/>
    <w:multiLevelType w:val="hybridMultilevel"/>
    <w:tmpl w:val="7FCC4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8B1B94"/>
    <w:multiLevelType w:val="hybridMultilevel"/>
    <w:tmpl w:val="66203A82"/>
    <w:lvl w:ilvl="0" w:tplc="F00EECFC">
      <w:start w:val="1"/>
      <w:numFmt w:val="bullet"/>
      <w:lvlText w:val="•"/>
      <w:lvlJc w:val="left"/>
      <w:pPr>
        <w:tabs>
          <w:tab w:val="num" w:pos="720"/>
        </w:tabs>
        <w:ind w:left="720" w:hanging="360"/>
      </w:pPr>
      <w:rPr>
        <w:rFonts w:ascii="Garamond" w:hAnsi="Garamond" w:hint="default"/>
      </w:rPr>
    </w:lvl>
    <w:lvl w:ilvl="1" w:tplc="1AE4EBAE" w:tentative="1">
      <w:start w:val="1"/>
      <w:numFmt w:val="bullet"/>
      <w:lvlText w:val="•"/>
      <w:lvlJc w:val="left"/>
      <w:pPr>
        <w:tabs>
          <w:tab w:val="num" w:pos="1440"/>
        </w:tabs>
        <w:ind w:left="1440" w:hanging="360"/>
      </w:pPr>
      <w:rPr>
        <w:rFonts w:ascii="Garamond" w:hAnsi="Garamond" w:hint="default"/>
      </w:rPr>
    </w:lvl>
    <w:lvl w:ilvl="2" w:tplc="38C43320" w:tentative="1">
      <w:start w:val="1"/>
      <w:numFmt w:val="bullet"/>
      <w:lvlText w:val="•"/>
      <w:lvlJc w:val="left"/>
      <w:pPr>
        <w:tabs>
          <w:tab w:val="num" w:pos="2160"/>
        </w:tabs>
        <w:ind w:left="2160" w:hanging="360"/>
      </w:pPr>
      <w:rPr>
        <w:rFonts w:ascii="Garamond" w:hAnsi="Garamond" w:hint="default"/>
      </w:rPr>
    </w:lvl>
    <w:lvl w:ilvl="3" w:tplc="B02E7E46" w:tentative="1">
      <w:start w:val="1"/>
      <w:numFmt w:val="bullet"/>
      <w:lvlText w:val="•"/>
      <w:lvlJc w:val="left"/>
      <w:pPr>
        <w:tabs>
          <w:tab w:val="num" w:pos="2880"/>
        </w:tabs>
        <w:ind w:left="2880" w:hanging="360"/>
      </w:pPr>
      <w:rPr>
        <w:rFonts w:ascii="Garamond" w:hAnsi="Garamond" w:hint="default"/>
      </w:rPr>
    </w:lvl>
    <w:lvl w:ilvl="4" w:tplc="E22C5D02" w:tentative="1">
      <w:start w:val="1"/>
      <w:numFmt w:val="bullet"/>
      <w:lvlText w:val="•"/>
      <w:lvlJc w:val="left"/>
      <w:pPr>
        <w:tabs>
          <w:tab w:val="num" w:pos="3600"/>
        </w:tabs>
        <w:ind w:left="3600" w:hanging="360"/>
      </w:pPr>
      <w:rPr>
        <w:rFonts w:ascii="Garamond" w:hAnsi="Garamond" w:hint="default"/>
      </w:rPr>
    </w:lvl>
    <w:lvl w:ilvl="5" w:tplc="68B20830" w:tentative="1">
      <w:start w:val="1"/>
      <w:numFmt w:val="bullet"/>
      <w:lvlText w:val="•"/>
      <w:lvlJc w:val="left"/>
      <w:pPr>
        <w:tabs>
          <w:tab w:val="num" w:pos="4320"/>
        </w:tabs>
        <w:ind w:left="4320" w:hanging="360"/>
      </w:pPr>
      <w:rPr>
        <w:rFonts w:ascii="Garamond" w:hAnsi="Garamond" w:hint="default"/>
      </w:rPr>
    </w:lvl>
    <w:lvl w:ilvl="6" w:tplc="9912D474" w:tentative="1">
      <w:start w:val="1"/>
      <w:numFmt w:val="bullet"/>
      <w:lvlText w:val="•"/>
      <w:lvlJc w:val="left"/>
      <w:pPr>
        <w:tabs>
          <w:tab w:val="num" w:pos="5040"/>
        </w:tabs>
        <w:ind w:left="5040" w:hanging="360"/>
      </w:pPr>
      <w:rPr>
        <w:rFonts w:ascii="Garamond" w:hAnsi="Garamond" w:hint="default"/>
      </w:rPr>
    </w:lvl>
    <w:lvl w:ilvl="7" w:tplc="0332EADC" w:tentative="1">
      <w:start w:val="1"/>
      <w:numFmt w:val="bullet"/>
      <w:lvlText w:val="•"/>
      <w:lvlJc w:val="left"/>
      <w:pPr>
        <w:tabs>
          <w:tab w:val="num" w:pos="5760"/>
        </w:tabs>
        <w:ind w:left="5760" w:hanging="360"/>
      </w:pPr>
      <w:rPr>
        <w:rFonts w:ascii="Garamond" w:hAnsi="Garamond" w:hint="default"/>
      </w:rPr>
    </w:lvl>
    <w:lvl w:ilvl="8" w:tplc="8ED4C54A" w:tentative="1">
      <w:start w:val="1"/>
      <w:numFmt w:val="bullet"/>
      <w:lvlText w:val="•"/>
      <w:lvlJc w:val="left"/>
      <w:pPr>
        <w:tabs>
          <w:tab w:val="num" w:pos="6480"/>
        </w:tabs>
        <w:ind w:left="6480" w:hanging="360"/>
      </w:pPr>
      <w:rPr>
        <w:rFonts w:ascii="Garamond" w:hAnsi="Garamond" w:hint="default"/>
      </w:rPr>
    </w:lvl>
  </w:abstractNum>
  <w:num w:numId="1">
    <w:abstractNumId w:val="34"/>
  </w:num>
  <w:num w:numId="2">
    <w:abstractNumId w:val="28"/>
  </w:num>
  <w:num w:numId="3">
    <w:abstractNumId w:val="29"/>
  </w:num>
  <w:num w:numId="4">
    <w:abstractNumId w:val="26"/>
  </w:num>
  <w:num w:numId="5">
    <w:abstractNumId w:val="7"/>
  </w:num>
  <w:num w:numId="6">
    <w:abstractNumId w:val="13"/>
  </w:num>
  <w:num w:numId="7">
    <w:abstractNumId w:val="42"/>
  </w:num>
  <w:num w:numId="8">
    <w:abstractNumId w:val="5"/>
  </w:num>
  <w:num w:numId="9">
    <w:abstractNumId w:val="39"/>
  </w:num>
  <w:num w:numId="10">
    <w:abstractNumId w:val="41"/>
  </w:num>
  <w:num w:numId="11">
    <w:abstractNumId w:val="32"/>
  </w:num>
  <w:num w:numId="12">
    <w:abstractNumId w:val="18"/>
  </w:num>
  <w:num w:numId="13">
    <w:abstractNumId w:val="25"/>
  </w:num>
  <w:num w:numId="14">
    <w:abstractNumId w:val="24"/>
  </w:num>
  <w:num w:numId="15">
    <w:abstractNumId w:val="16"/>
  </w:num>
  <w:num w:numId="16">
    <w:abstractNumId w:val="1"/>
  </w:num>
  <w:num w:numId="17">
    <w:abstractNumId w:val="38"/>
  </w:num>
  <w:num w:numId="18">
    <w:abstractNumId w:val="43"/>
  </w:num>
  <w:num w:numId="19">
    <w:abstractNumId w:val="40"/>
  </w:num>
  <w:num w:numId="20">
    <w:abstractNumId w:val="44"/>
  </w:num>
  <w:num w:numId="21">
    <w:abstractNumId w:val="2"/>
  </w:num>
  <w:num w:numId="22">
    <w:abstractNumId w:val="22"/>
  </w:num>
  <w:num w:numId="23">
    <w:abstractNumId w:val="30"/>
  </w:num>
  <w:num w:numId="24">
    <w:abstractNumId w:val="36"/>
  </w:num>
  <w:num w:numId="25">
    <w:abstractNumId w:val="6"/>
  </w:num>
  <w:num w:numId="26">
    <w:abstractNumId w:val="10"/>
  </w:num>
  <w:num w:numId="27">
    <w:abstractNumId w:val="0"/>
  </w:num>
  <w:num w:numId="28">
    <w:abstractNumId w:val="8"/>
  </w:num>
  <w:num w:numId="29">
    <w:abstractNumId w:val="3"/>
  </w:num>
  <w:num w:numId="30">
    <w:abstractNumId w:val="23"/>
  </w:num>
  <w:num w:numId="31">
    <w:abstractNumId w:val="27"/>
  </w:num>
  <w:num w:numId="32">
    <w:abstractNumId w:val="12"/>
  </w:num>
  <w:num w:numId="33">
    <w:abstractNumId w:val="19"/>
  </w:num>
  <w:num w:numId="34">
    <w:abstractNumId w:val="33"/>
  </w:num>
  <w:num w:numId="35">
    <w:abstractNumId w:val="14"/>
  </w:num>
  <w:num w:numId="36">
    <w:abstractNumId w:val="17"/>
  </w:num>
  <w:num w:numId="37">
    <w:abstractNumId w:val="20"/>
  </w:num>
  <w:num w:numId="38">
    <w:abstractNumId w:val="37"/>
  </w:num>
  <w:num w:numId="39">
    <w:abstractNumId w:val="11"/>
  </w:num>
  <w:num w:numId="40">
    <w:abstractNumId w:val="4"/>
  </w:num>
  <w:num w:numId="41">
    <w:abstractNumId w:val="9"/>
  </w:num>
  <w:num w:numId="42">
    <w:abstractNumId w:val="21"/>
  </w:num>
  <w:num w:numId="43">
    <w:abstractNumId w:val="15"/>
  </w:num>
  <w:num w:numId="44">
    <w:abstractNumId w:val="35"/>
  </w:num>
  <w:num w:numId="45">
    <w:abstractNumId w:val="45"/>
  </w:num>
  <w:num w:numId="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8EF"/>
    <w:rsid w:val="00002360"/>
    <w:rsid w:val="0000259D"/>
    <w:rsid w:val="00003E50"/>
    <w:rsid w:val="00006BF0"/>
    <w:rsid w:val="00007191"/>
    <w:rsid w:val="00012B09"/>
    <w:rsid w:val="00012DDF"/>
    <w:rsid w:val="00012F30"/>
    <w:rsid w:val="00012F70"/>
    <w:rsid w:val="000157E1"/>
    <w:rsid w:val="00016B47"/>
    <w:rsid w:val="00017224"/>
    <w:rsid w:val="00021EC7"/>
    <w:rsid w:val="000222BB"/>
    <w:rsid w:val="00022E69"/>
    <w:rsid w:val="00023B13"/>
    <w:rsid w:val="00027035"/>
    <w:rsid w:val="00031127"/>
    <w:rsid w:val="00032956"/>
    <w:rsid w:val="00032EB6"/>
    <w:rsid w:val="00034DA7"/>
    <w:rsid w:val="000351DF"/>
    <w:rsid w:val="00036CE9"/>
    <w:rsid w:val="00036FFF"/>
    <w:rsid w:val="000377EF"/>
    <w:rsid w:val="00042177"/>
    <w:rsid w:val="0004401C"/>
    <w:rsid w:val="00045EEB"/>
    <w:rsid w:val="000467D8"/>
    <w:rsid w:val="00051FD0"/>
    <w:rsid w:val="00055152"/>
    <w:rsid w:val="000559C8"/>
    <w:rsid w:val="00055FF2"/>
    <w:rsid w:val="00057742"/>
    <w:rsid w:val="00063AB4"/>
    <w:rsid w:val="00064D61"/>
    <w:rsid w:val="00065767"/>
    <w:rsid w:val="00065E7B"/>
    <w:rsid w:val="00067053"/>
    <w:rsid w:val="00071377"/>
    <w:rsid w:val="00072AC7"/>
    <w:rsid w:val="0007686C"/>
    <w:rsid w:val="000771E4"/>
    <w:rsid w:val="00081AC0"/>
    <w:rsid w:val="00084378"/>
    <w:rsid w:val="00084486"/>
    <w:rsid w:val="00085BAF"/>
    <w:rsid w:val="0008753B"/>
    <w:rsid w:val="000875EE"/>
    <w:rsid w:val="00091D31"/>
    <w:rsid w:val="00091F73"/>
    <w:rsid w:val="000937A3"/>
    <w:rsid w:val="00096650"/>
    <w:rsid w:val="00096709"/>
    <w:rsid w:val="000A00C8"/>
    <w:rsid w:val="000A1019"/>
    <w:rsid w:val="000A1AC5"/>
    <w:rsid w:val="000A45C9"/>
    <w:rsid w:val="000A5233"/>
    <w:rsid w:val="000A5B94"/>
    <w:rsid w:val="000B1D72"/>
    <w:rsid w:val="000B339E"/>
    <w:rsid w:val="000B59EC"/>
    <w:rsid w:val="000C0937"/>
    <w:rsid w:val="000C2E4B"/>
    <w:rsid w:val="000C301F"/>
    <w:rsid w:val="000C38F9"/>
    <w:rsid w:val="000C42DD"/>
    <w:rsid w:val="000C6364"/>
    <w:rsid w:val="000C7259"/>
    <w:rsid w:val="000D15D4"/>
    <w:rsid w:val="000D16C9"/>
    <w:rsid w:val="000D3F99"/>
    <w:rsid w:val="000D5FFA"/>
    <w:rsid w:val="000D60E9"/>
    <w:rsid w:val="000D655D"/>
    <w:rsid w:val="000D70A7"/>
    <w:rsid w:val="000D7226"/>
    <w:rsid w:val="000D7B02"/>
    <w:rsid w:val="000E1527"/>
    <w:rsid w:val="000E2FB5"/>
    <w:rsid w:val="000E31A0"/>
    <w:rsid w:val="000E62FD"/>
    <w:rsid w:val="000E6361"/>
    <w:rsid w:val="000E702C"/>
    <w:rsid w:val="000E7169"/>
    <w:rsid w:val="000F008E"/>
    <w:rsid w:val="000F1706"/>
    <w:rsid w:val="000F7520"/>
    <w:rsid w:val="000F76FB"/>
    <w:rsid w:val="001005B1"/>
    <w:rsid w:val="00101FA8"/>
    <w:rsid w:val="0010287A"/>
    <w:rsid w:val="00104D4F"/>
    <w:rsid w:val="00105BE8"/>
    <w:rsid w:val="00111952"/>
    <w:rsid w:val="00113BB9"/>
    <w:rsid w:val="00116315"/>
    <w:rsid w:val="00116954"/>
    <w:rsid w:val="00116B60"/>
    <w:rsid w:val="00116E7E"/>
    <w:rsid w:val="001230B1"/>
    <w:rsid w:val="00125B42"/>
    <w:rsid w:val="00126E98"/>
    <w:rsid w:val="0013299B"/>
    <w:rsid w:val="00132D81"/>
    <w:rsid w:val="00132F26"/>
    <w:rsid w:val="0013367A"/>
    <w:rsid w:val="00135F88"/>
    <w:rsid w:val="00136AC5"/>
    <w:rsid w:val="00136FAA"/>
    <w:rsid w:val="0013771E"/>
    <w:rsid w:val="00142B9B"/>
    <w:rsid w:val="00142E79"/>
    <w:rsid w:val="00143398"/>
    <w:rsid w:val="001454C1"/>
    <w:rsid w:val="00147052"/>
    <w:rsid w:val="00152DAE"/>
    <w:rsid w:val="00152FAC"/>
    <w:rsid w:val="00153E05"/>
    <w:rsid w:val="001553A1"/>
    <w:rsid w:val="001567AD"/>
    <w:rsid w:val="00157102"/>
    <w:rsid w:val="00160AF4"/>
    <w:rsid w:val="00161C5F"/>
    <w:rsid w:val="001622BB"/>
    <w:rsid w:val="00162604"/>
    <w:rsid w:val="0016329E"/>
    <w:rsid w:val="00163692"/>
    <w:rsid w:val="00163877"/>
    <w:rsid w:val="00163D82"/>
    <w:rsid w:val="00164C1D"/>
    <w:rsid w:val="00167EDB"/>
    <w:rsid w:val="00171B3E"/>
    <w:rsid w:val="00176E43"/>
    <w:rsid w:val="00177837"/>
    <w:rsid w:val="00180385"/>
    <w:rsid w:val="0018125F"/>
    <w:rsid w:val="00185415"/>
    <w:rsid w:val="0018667B"/>
    <w:rsid w:val="0018709E"/>
    <w:rsid w:val="00187865"/>
    <w:rsid w:val="0019050F"/>
    <w:rsid w:val="00193D5B"/>
    <w:rsid w:val="00194C1A"/>
    <w:rsid w:val="00196D8E"/>
    <w:rsid w:val="00197798"/>
    <w:rsid w:val="001A0694"/>
    <w:rsid w:val="001A1B73"/>
    <w:rsid w:val="001A1CEA"/>
    <w:rsid w:val="001A27D4"/>
    <w:rsid w:val="001A4E87"/>
    <w:rsid w:val="001A702B"/>
    <w:rsid w:val="001B0997"/>
    <w:rsid w:val="001B127B"/>
    <w:rsid w:val="001B1DA2"/>
    <w:rsid w:val="001B600F"/>
    <w:rsid w:val="001B6A39"/>
    <w:rsid w:val="001B6ED5"/>
    <w:rsid w:val="001C11A8"/>
    <w:rsid w:val="001C1FA5"/>
    <w:rsid w:val="001C28AB"/>
    <w:rsid w:val="001C3D0D"/>
    <w:rsid w:val="001C4824"/>
    <w:rsid w:val="001C5A3A"/>
    <w:rsid w:val="001C5AFE"/>
    <w:rsid w:val="001C7DB2"/>
    <w:rsid w:val="001D0EAB"/>
    <w:rsid w:val="001D1021"/>
    <w:rsid w:val="001D1B2B"/>
    <w:rsid w:val="001D1DAF"/>
    <w:rsid w:val="001D2416"/>
    <w:rsid w:val="001D3F1B"/>
    <w:rsid w:val="001D4FF6"/>
    <w:rsid w:val="001E2AC7"/>
    <w:rsid w:val="001E2CAD"/>
    <w:rsid w:val="001E3DF8"/>
    <w:rsid w:val="001E47AD"/>
    <w:rsid w:val="001E5EE0"/>
    <w:rsid w:val="001E724E"/>
    <w:rsid w:val="001E7DF7"/>
    <w:rsid w:val="001F0E5A"/>
    <w:rsid w:val="001F15D3"/>
    <w:rsid w:val="001F2206"/>
    <w:rsid w:val="001F40F0"/>
    <w:rsid w:val="001F4A12"/>
    <w:rsid w:val="001F55B3"/>
    <w:rsid w:val="001F6E14"/>
    <w:rsid w:val="001F7EE9"/>
    <w:rsid w:val="00203F25"/>
    <w:rsid w:val="0020630C"/>
    <w:rsid w:val="00206D60"/>
    <w:rsid w:val="00210029"/>
    <w:rsid w:val="00212102"/>
    <w:rsid w:val="00214605"/>
    <w:rsid w:val="00214DE1"/>
    <w:rsid w:val="00215798"/>
    <w:rsid w:val="002167A2"/>
    <w:rsid w:val="002170C2"/>
    <w:rsid w:val="002172A5"/>
    <w:rsid w:val="00217B99"/>
    <w:rsid w:val="00217BF3"/>
    <w:rsid w:val="00217CF9"/>
    <w:rsid w:val="00220491"/>
    <w:rsid w:val="00221AAE"/>
    <w:rsid w:val="00221AC7"/>
    <w:rsid w:val="00223AB8"/>
    <w:rsid w:val="002240EE"/>
    <w:rsid w:val="0022556B"/>
    <w:rsid w:val="00226EA4"/>
    <w:rsid w:val="0023639A"/>
    <w:rsid w:val="00237EB5"/>
    <w:rsid w:val="00243152"/>
    <w:rsid w:val="0024431E"/>
    <w:rsid w:val="00244ECA"/>
    <w:rsid w:val="002450AA"/>
    <w:rsid w:val="00245B2A"/>
    <w:rsid w:val="002470B4"/>
    <w:rsid w:val="00247272"/>
    <w:rsid w:val="002476C6"/>
    <w:rsid w:val="00247E9B"/>
    <w:rsid w:val="00250AA5"/>
    <w:rsid w:val="0025246D"/>
    <w:rsid w:val="002524E6"/>
    <w:rsid w:val="00253FDF"/>
    <w:rsid w:val="0025492B"/>
    <w:rsid w:val="00256CA5"/>
    <w:rsid w:val="002700E7"/>
    <w:rsid w:val="0027044F"/>
    <w:rsid w:val="00270E26"/>
    <w:rsid w:val="0027333F"/>
    <w:rsid w:val="00277EE6"/>
    <w:rsid w:val="00282430"/>
    <w:rsid w:val="0028470A"/>
    <w:rsid w:val="00285156"/>
    <w:rsid w:val="0028648B"/>
    <w:rsid w:val="0028649C"/>
    <w:rsid w:val="002868BE"/>
    <w:rsid w:val="00287281"/>
    <w:rsid w:val="002910F7"/>
    <w:rsid w:val="00292C93"/>
    <w:rsid w:val="00293340"/>
    <w:rsid w:val="00294CEB"/>
    <w:rsid w:val="002A0081"/>
    <w:rsid w:val="002A00A2"/>
    <w:rsid w:val="002A221B"/>
    <w:rsid w:val="002A2E60"/>
    <w:rsid w:val="002A4606"/>
    <w:rsid w:val="002A5544"/>
    <w:rsid w:val="002A6A87"/>
    <w:rsid w:val="002B1441"/>
    <w:rsid w:val="002B2A53"/>
    <w:rsid w:val="002B4D6F"/>
    <w:rsid w:val="002B647E"/>
    <w:rsid w:val="002C0D6B"/>
    <w:rsid w:val="002C46FD"/>
    <w:rsid w:val="002C78A4"/>
    <w:rsid w:val="002D1857"/>
    <w:rsid w:val="002D31FA"/>
    <w:rsid w:val="002D4954"/>
    <w:rsid w:val="002D4E79"/>
    <w:rsid w:val="002E1EF1"/>
    <w:rsid w:val="002E215A"/>
    <w:rsid w:val="002E274F"/>
    <w:rsid w:val="002E32D3"/>
    <w:rsid w:val="002E5428"/>
    <w:rsid w:val="002E76DC"/>
    <w:rsid w:val="002F1FA2"/>
    <w:rsid w:val="002F233E"/>
    <w:rsid w:val="002F24DB"/>
    <w:rsid w:val="002F36DD"/>
    <w:rsid w:val="002F648C"/>
    <w:rsid w:val="002F661B"/>
    <w:rsid w:val="002F6677"/>
    <w:rsid w:val="003024F9"/>
    <w:rsid w:val="003064C4"/>
    <w:rsid w:val="003064E7"/>
    <w:rsid w:val="00307696"/>
    <w:rsid w:val="003076A2"/>
    <w:rsid w:val="003101BB"/>
    <w:rsid w:val="0031144E"/>
    <w:rsid w:val="00311D2A"/>
    <w:rsid w:val="00313697"/>
    <w:rsid w:val="00314E3B"/>
    <w:rsid w:val="00315A34"/>
    <w:rsid w:val="003164D0"/>
    <w:rsid w:val="003174D4"/>
    <w:rsid w:val="00317ADC"/>
    <w:rsid w:val="00323474"/>
    <w:rsid w:val="00324D24"/>
    <w:rsid w:val="0032781C"/>
    <w:rsid w:val="0033316F"/>
    <w:rsid w:val="0033464D"/>
    <w:rsid w:val="00334FE0"/>
    <w:rsid w:val="00341AB8"/>
    <w:rsid w:val="00341F36"/>
    <w:rsid w:val="00343B20"/>
    <w:rsid w:val="00343C81"/>
    <w:rsid w:val="00344740"/>
    <w:rsid w:val="0034605B"/>
    <w:rsid w:val="00346183"/>
    <w:rsid w:val="003466E1"/>
    <w:rsid w:val="003467DF"/>
    <w:rsid w:val="00347193"/>
    <w:rsid w:val="0035078A"/>
    <w:rsid w:val="00351279"/>
    <w:rsid w:val="00352BAF"/>
    <w:rsid w:val="0035597E"/>
    <w:rsid w:val="00356222"/>
    <w:rsid w:val="00357B5A"/>
    <w:rsid w:val="003603A0"/>
    <w:rsid w:val="00360DD3"/>
    <w:rsid w:val="00363F66"/>
    <w:rsid w:val="003654C9"/>
    <w:rsid w:val="00365A30"/>
    <w:rsid w:val="0036651C"/>
    <w:rsid w:val="003669F8"/>
    <w:rsid w:val="00371B4B"/>
    <w:rsid w:val="00372EAD"/>
    <w:rsid w:val="00373232"/>
    <w:rsid w:val="00373E2F"/>
    <w:rsid w:val="0037494A"/>
    <w:rsid w:val="00375469"/>
    <w:rsid w:val="00375B72"/>
    <w:rsid w:val="003779C6"/>
    <w:rsid w:val="0038039B"/>
    <w:rsid w:val="00380599"/>
    <w:rsid w:val="003835B2"/>
    <w:rsid w:val="003836C0"/>
    <w:rsid w:val="0038406F"/>
    <w:rsid w:val="00384F3F"/>
    <w:rsid w:val="00385A66"/>
    <w:rsid w:val="0039329D"/>
    <w:rsid w:val="00394C16"/>
    <w:rsid w:val="00394EA6"/>
    <w:rsid w:val="00395560"/>
    <w:rsid w:val="003965D2"/>
    <w:rsid w:val="00396983"/>
    <w:rsid w:val="00397513"/>
    <w:rsid w:val="00397F3F"/>
    <w:rsid w:val="003A0637"/>
    <w:rsid w:val="003A18D1"/>
    <w:rsid w:val="003A18D6"/>
    <w:rsid w:val="003A1AB3"/>
    <w:rsid w:val="003A209E"/>
    <w:rsid w:val="003A31BD"/>
    <w:rsid w:val="003A351F"/>
    <w:rsid w:val="003A40D8"/>
    <w:rsid w:val="003A631A"/>
    <w:rsid w:val="003A75B7"/>
    <w:rsid w:val="003A7873"/>
    <w:rsid w:val="003B0235"/>
    <w:rsid w:val="003B0398"/>
    <w:rsid w:val="003B0CD6"/>
    <w:rsid w:val="003B11C3"/>
    <w:rsid w:val="003B184B"/>
    <w:rsid w:val="003B2E94"/>
    <w:rsid w:val="003B3D77"/>
    <w:rsid w:val="003B4815"/>
    <w:rsid w:val="003B57D6"/>
    <w:rsid w:val="003B6B4E"/>
    <w:rsid w:val="003C090B"/>
    <w:rsid w:val="003C2D80"/>
    <w:rsid w:val="003C4F24"/>
    <w:rsid w:val="003C5454"/>
    <w:rsid w:val="003C6B45"/>
    <w:rsid w:val="003C742D"/>
    <w:rsid w:val="003D0658"/>
    <w:rsid w:val="003D41C4"/>
    <w:rsid w:val="003E15DE"/>
    <w:rsid w:val="003E2FA4"/>
    <w:rsid w:val="003E3051"/>
    <w:rsid w:val="003E39A7"/>
    <w:rsid w:val="003E73E7"/>
    <w:rsid w:val="003F04FC"/>
    <w:rsid w:val="003F0681"/>
    <w:rsid w:val="003F095A"/>
    <w:rsid w:val="003F4B42"/>
    <w:rsid w:val="003F6032"/>
    <w:rsid w:val="003F7260"/>
    <w:rsid w:val="003F7B0C"/>
    <w:rsid w:val="003F7F1A"/>
    <w:rsid w:val="00403169"/>
    <w:rsid w:val="00403C75"/>
    <w:rsid w:val="00404B99"/>
    <w:rsid w:val="00404EF6"/>
    <w:rsid w:val="00405CDE"/>
    <w:rsid w:val="00410BBE"/>
    <w:rsid w:val="00410F68"/>
    <w:rsid w:val="00413C53"/>
    <w:rsid w:val="00414598"/>
    <w:rsid w:val="00414BB0"/>
    <w:rsid w:val="00415E0A"/>
    <w:rsid w:val="0041758B"/>
    <w:rsid w:val="0042234E"/>
    <w:rsid w:val="0042439A"/>
    <w:rsid w:val="00430347"/>
    <w:rsid w:val="004318C8"/>
    <w:rsid w:val="00432998"/>
    <w:rsid w:val="00432C6A"/>
    <w:rsid w:val="00436051"/>
    <w:rsid w:val="00436FBA"/>
    <w:rsid w:val="00441511"/>
    <w:rsid w:val="004417DC"/>
    <w:rsid w:val="00442173"/>
    <w:rsid w:val="004424D3"/>
    <w:rsid w:val="004427A5"/>
    <w:rsid w:val="00450818"/>
    <w:rsid w:val="00451431"/>
    <w:rsid w:val="00454135"/>
    <w:rsid w:val="0045573C"/>
    <w:rsid w:val="00455CCD"/>
    <w:rsid w:val="00456994"/>
    <w:rsid w:val="00457064"/>
    <w:rsid w:val="00460480"/>
    <w:rsid w:val="00460F2A"/>
    <w:rsid w:val="004614D7"/>
    <w:rsid w:val="00461A25"/>
    <w:rsid w:val="00464C60"/>
    <w:rsid w:val="00465A63"/>
    <w:rsid w:val="00467A4C"/>
    <w:rsid w:val="00470277"/>
    <w:rsid w:val="00471701"/>
    <w:rsid w:val="00472383"/>
    <w:rsid w:val="00476591"/>
    <w:rsid w:val="0048115C"/>
    <w:rsid w:val="0048249E"/>
    <w:rsid w:val="0048527F"/>
    <w:rsid w:val="00486CF9"/>
    <w:rsid w:val="00490625"/>
    <w:rsid w:val="00493391"/>
    <w:rsid w:val="00495473"/>
    <w:rsid w:val="0049789B"/>
    <w:rsid w:val="004A01B5"/>
    <w:rsid w:val="004A06E8"/>
    <w:rsid w:val="004A08BE"/>
    <w:rsid w:val="004A25A9"/>
    <w:rsid w:val="004A2E0C"/>
    <w:rsid w:val="004A2F73"/>
    <w:rsid w:val="004A68EF"/>
    <w:rsid w:val="004B16C8"/>
    <w:rsid w:val="004B255B"/>
    <w:rsid w:val="004B3518"/>
    <w:rsid w:val="004B455F"/>
    <w:rsid w:val="004B5DF5"/>
    <w:rsid w:val="004B616B"/>
    <w:rsid w:val="004B68C1"/>
    <w:rsid w:val="004B6FAF"/>
    <w:rsid w:val="004C3030"/>
    <w:rsid w:val="004C4033"/>
    <w:rsid w:val="004C459F"/>
    <w:rsid w:val="004C5E6F"/>
    <w:rsid w:val="004C79C4"/>
    <w:rsid w:val="004C7B02"/>
    <w:rsid w:val="004D0F60"/>
    <w:rsid w:val="004D5ED9"/>
    <w:rsid w:val="004D6F7B"/>
    <w:rsid w:val="004E08AB"/>
    <w:rsid w:val="004E0BC4"/>
    <w:rsid w:val="004E126F"/>
    <w:rsid w:val="004E5BBA"/>
    <w:rsid w:val="004E63F3"/>
    <w:rsid w:val="004E7622"/>
    <w:rsid w:val="004F1136"/>
    <w:rsid w:val="004F4848"/>
    <w:rsid w:val="004F51E2"/>
    <w:rsid w:val="004F6B3E"/>
    <w:rsid w:val="004F7C1B"/>
    <w:rsid w:val="00500328"/>
    <w:rsid w:val="00500F91"/>
    <w:rsid w:val="00501CC0"/>
    <w:rsid w:val="00502BF8"/>
    <w:rsid w:val="005034CB"/>
    <w:rsid w:val="00503855"/>
    <w:rsid w:val="00503E23"/>
    <w:rsid w:val="00506707"/>
    <w:rsid w:val="00510037"/>
    <w:rsid w:val="005125D8"/>
    <w:rsid w:val="005126A6"/>
    <w:rsid w:val="00513484"/>
    <w:rsid w:val="00513F18"/>
    <w:rsid w:val="00515AE5"/>
    <w:rsid w:val="0052123B"/>
    <w:rsid w:val="005239CD"/>
    <w:rsid w:val="00524022"/>
    <w:rsid w:val="00525F72"/>
    <w:rsid w:val="0052700E"/>
    <w:rsid w:val="0053097B"/>
    <w:rsid w:val="00533461"/>
    <w:rsid w:val="00534B8C"/>
    <w:rsid w:val="005355AC"/>
    <w:rsid w:val="005361B7"/>
    <w:rsid w:val="0053646F"/>
    <w:rsid w:val="005407D6"/>
    <w:rsid w:val="00543685"/>
    <w:rsid w:val="005437C4"/>
    <w:rsid w:val="00543EAB"/>
    <w:rsid w:val="00546767"/>
    <w:rsid w:val="0055614B"/>
    <w:rsid w:val="00557CE1"/>
    <w:rsid w:val="005609CC"/>
    <w:rsid w:val="00560A0C"/>
    <w:rsid w:val="005616D1"/>
    <w:rsid w:val="005630A5"/>
    <w:rsid w:val="00563830"/>
    <w:rsid w:val="0056393E"/>
    <w:rsid w:val="00564379"/>
    <w:rsid w:val="005673BC"/>
    <w:rsid w:val="005675B4"/>
    <w:rsid w:val="0056763D"/>
    <w:rsid w:val="00567919"/>
    <w:rsid w:val="00572660"/>
    <w:rsid w:val="00572A41"/>
    <w:rsid w:val="00573FFC"/>
    <w:rsid w:val="005845F5"/>
    <w:rsid w:val="00586A87"/>
    <w:rsid w:val="005909BF"/>
    <w:rsid w:val="0059225A"/>
    <w:rsid w:val="00593690"/>
    <w:rsid w:val="00594763"/>
    <w:rsid w:val="005979B1"/>
    <w:rsid w:val="005A6D16"/>
    <w:rsid w:val="005A78B7"/>
    <w:rsid w:val="005B0112"/>
    <w:rsid w:val="005B16A8"/>
    <w:rsid w:val="005B31CE"/>
    <w:rsid w:val="005B3202"/>
    <w:rsid w:val="005B3503"/>
    <w:rsid w:val="005B3F13"/>
    <w:rsid w:val="005B5411"/>
    <w:rsid w:val="005B6A27"/>
    <w:rsid w:val="005C3709"/>
    <w:rsid w:val="005C6137"/>
    <w:rsid w:val="005C6494"/>
    <w:rsid w:val="005C7A14"/>
    <w:rsid w:val="005D0ABE"/>
    <w:rsid w:val="005D35B3"/>
    <w:rsid w:val="005D4525"/>
    <w:rsid w:val="005D64B6"/>
    <w:rsid w:val="005E06D0"/>
    <w:rsid w:val="005E0758"/>
    <w:rsid w:val="005E19F4"/>
    <w:rsid w:val="005E3B14"/>
    <w:rsid w:val="005E562A"/>
    <w:rsid w:val="005F017F"/>
    <w:rsid w:val="005F12A6"/>
    <w:rsid w:val="005F1F40"/>
    <w:rsid w:val="005F2E94"/>
    <w:rsid w:val="005F427A"/>
    <w:rsid w:val="005F53AE"/>
    <w:rsid w:val="005F5F93"/>
    <w:rsid w:val="00602044"/>
    <w:rsid w:val="00603F49"/>
    <w:rsid w:val="006060D1"/>
    <w:rsid w:val="0060749C"/>
    <w:rsid w:val="00610505"/>
    <w:rsid w:val="006108CB"/>
    <w:rsid w:val="00613401"/>
    <w:rsid w:val="00614090"/>
    <w:rsid w:val="00615BB8"/>
    <w:rsid w:val="006164A9"/>
    <w:rsid w:val="00624EDE"/>
    <w:rsid w:val="00625946"/>
    <w:rsid w:val="006279B8"/>
    <w:rsid w:val="006301D0"/>
    <w:rsid w:val="006306C0"/>
    <w:rsid w:val="00630C81"/>
    <w:rsid w:val="00631C0A"/>
    <w:rsid w:val="00631EFD"/>
    <w:rsid w:val="0063488A"/>
    <w:rsid w:val="00637E13"/>
    <w:rsid w:val="006418DD"/>
    <w:rsid w:val="00642120"/>
    <w:rsid w:val="00643E62"/>
    <w:rsid w:val="00646BB9"/>
    <w:rsid w:val="00653FBA"/>
    <w:rsid w:val="006552A9"/>
    <w:rsid w:val="00655E31"/>
    <w:rsid w:val="00657EAF"/>
    <w:rsid w:val="00657F52"/>
    <w:rsid w:val="00660315"/>
    <w:rsid w:val="0066093D"/>
    <w:rsid w:val="0066254D"/>
    <w:rsid w:val="006628E0"/>
    <w:rsid w:val="00667AC0"/>
    <w:rsid w:val="00667CAB"/>
    <w:rsid w:val="00671AFF"/>
    <w:rsid w:val="0067302C"/>
    <w:rsid w:val="006751F8"/>
    <w:rsid w:val="00675CFD"/>
    <w:rsid w:val="00675FDA"/>
    <w:rsid w:val="0068143B"/>
    <w:rsid w:val="00681996"/>
    <w:rsid w:val="00684498"/>
    <w:rsid w:val="0068789A"/>
    <w:rsid w:val="00687CBD"/>
    <w:rsid w:val="00690E5D"/>
    <w:rsid w:val="00691E73"/>
    <w:rsid w:val="006956BB"/>
    <w:rsid w:val="006A02B9"/>
    <w:rsid w:val="006A2A5F"/>
    <w:rsid w:val="006A3EC3"/>
    <w:rsid w:val="006A4CDC"/>
    <w:rsid w:val="006A6036"/>
    <w:rsid w:val="006A62E7"/>
    <w:rsid w:val="006B1A5B"/>
    <w:rsid w:val="006B202B"/>
    <w:rsid w:val="006B2C67"/>
    <w:rsid w:val="006B47DD"/>
    <w:rsid w:val="006B4C22"/>
    <w:rsid w:val="006B57C6"/>
    <w:rsid w:val="006C02B9"/>
    <w:rsid w:val="006C0A04"/>
    <w:rsid w:val="006C2614"/>
    <w:rsid w:val="006C2F5C"/>
    <w:rsid w:val="006C5D7B"/>
    <w:rsid w:val="006C6EC3"/>
    <w:rsid w:val="006D0ECD"/>
    <w:rsid w:val="006D4782"/>
    <w:rsid w:val="006E17AE"/>
    <w:rsid w:val="006E368B"/>
    <w:rsid w:val="006E490E"/>
    <w:rsid w:val="006F2250"/>
    <w:rsid w:val="006F4637"/>
    <w:rsid w:val="006F5BDE"/>
    <w:rsid w:val="00700316"/>
    <w:rsid w:val="00701969"/>
    <w:rsid w:val="00703648"/>
    <w:rsid w:val="0070392A"/>
    <w:rsid w:val="00704B95"/>
    <w:rsid w:val="00704BE7"/>
    <w:rsid w:val="00707B3D"/>
    <w:rsid w:val="00710F67"/>
    <w:rsid w:val="007128DC"/>
    <w:rsid w:val="00714BF9"/>
    <w:rsid w:val="0071576F"/>
    <w:rsid w:val="00715850"/>
    <w:rsid w:val="00717E40"/>
    <w:rsid w:val="00721282"/>
    <w:rsid w:val="00721A61"/>
    <w:rsid w:val="00721B2A"/>
    <w:rsid w:val="00721C26"/>
    <w:rsid w:val="007231F7"/>
    <w:rsid w:val="007234AA"/>
    <w:rsid w:val="007237C4"/>
    <w:rsid w:val="00724171"/>
    <w:rsid w:val="00724E1E"/>
    <w:rsid w:val="00727ADA"/>
    <w:rsid w:val="007321F7"/>
    <w:rsid w:val="00732B75"/>
    <w:rsid w:val="007338E0"/>
    <w:rsid w:val="007362CE"/>
    <w:rsid w:val="00736683"/>
    <w:rsid w:val="00736744"/>
    <w:rsid w:val="00736A3F"/>
    <w:rsid w:val="00736FD1"/>
    <w:rsid w:val="007370FD"/>
    <w:rsid w:val="00737204"/>
    <w:rsid w:val="00740DC9"/>
    <w:rsid w:val="00740E31"/>
    <w:rsid w:val="00741CEF"/>
    <w:rsid w:val="007423C0"/>
    <w:rsid w:val="007428E6"/>
    <w:rsid w:val="00746EA1"/>
    <w:rsid w:val="00747B1D"/>
    <w:rsid w:val="00750665"/>
    <w:rsid w:val="00750B8D"/>
    <w:rsid w:val="0075167E"/>
    <w:rsid w:val="00751D38"/>
    <w:rsid w:val="00752119"/>
    <w:rsid w:val="00752E5A"/>
    <w:rsid w:val="00752F60"/>
    <w:rsid w:val="0075499D"/>
    <w:rsid w:val="007561BF"/>
    <w:rsid w:val="007602E4"/>
    <w:rsid w:val="00762126"/>
    <w:rsid w:val="0076387B"/>
    <w:rsid w:val="00763F64"/>
    <w:rsid w:val="00765D71"/>
    <w:rsid w:val="00775B09"/>
    <w:rsid w:val="00780FF6"/>
    <w:rsid w:val="007834A7"/>
    <w:rsid w:val="00790229"/>
    <w:rsid w:val="00790627"/>
    <w:rsid w:val="00790D74"/>
    <w:rsid w:val="00794BB4"/>
    <w:rsid w:val="0079579C"/>
    <w:rsid w:val="007A2C9E"/>
    <w:rsid w:val="007A4803"/>
    <w:rsid w:val="007A56B5"/>
    <w:rsid w:val="007A73D5"/>
    <w:rsid w:val="007A7EF8"/>
    <w:rsid w:val="007B0066"/>
    <w:rsid w:val="007B1353"/>
    <w:rsid w:val="007B240B"/>
    <w:rsid w:val="007B2BDA"/>
    <w:rsid w:val="007B2D78"/>
    <w:rsid w:val="007B31AF"/>
    <w:rsid w:val="007B3285"/>
    <w:rsid w:val="007B4084"/>
    <w:rsid w:val="007B428F"/>
    <w:rsid w:val="007B75DF"/>
    <w:rsid w:val="007C0258"/>
    <w:rsid w:val="007C0358"/>
    <w:rsid w:val="007C1F7E"/>
    <w:rsid w:val="007C509C"/>
    <w:rsid w:val="007C5733"/>
    <w:rsid w:val="007C5C48"/>
    <w:rsid w:val="007C7258"/>
    <w:rsid w:val="007C7344"/>
    <w:rsid w:val="007C74B3"/>
    <w:rsid w:val="007D3788"/>
    <w:rsid w:val="007D5750"/>
    <w:rsid w:val="007D669F"/>
    <w:rsid w:val="007E1402"/>
    <w:rsid w:val="007E2198"/>
    <w:rsid w:val="007E21FE"/>
    <w:rsid w:val="007E26F3"/>
    <w:rsid w:val="007E4130"/>
    <w:rsid w:val="007E4541"/>
    <w:rsid w:val="007E461F"/>
    <w:rsid w:val="007E5FA5"/>
    <w:rsid w:val="007E6534"/>
    <w:rsid w:val="007E741B"/>
    <w:rsid w:val="007F04EA"/>
    <w:rsid w:val="007F3245"/>
    <w:rsid w:val="007F333E"/>
    <w:rsid w:val="007F359E"/>
    <w:rsid w:val="007F3965"/>
    <w:rsid w:val="007F4EAD"/>
    <w:rsid w:val="007F519B"/>
    <w:rsid w:val="007F61B0"/>
    <w:rsid w:val="007F777A"/>
    <w:rsid w:val="00801240"/>
    <w:rsid w:val="00801660"/>
    <w:rsid w:val="008017B0"/>
    <w:rsid w:val="008022EB"/>
    <w:rsid w:val="008043F8"/>
    <w:rsid w:val="00805381"/>
    <w:rsid w:val="00805E06"/>
    <w:rsid w:val="00806565"/>
    <w:rsid w:val="008071FF"/>
    <w:rsid w:val="008118B5"/>
    <w:rsid w:val="00811D82"/>
    <w:rsid w:val="00811F67"/>
    <w:rsid w:val="00813395"/>
    <w:rsid w:val="00815A43"/>
    <w:rsid w:val="008165B1"/>
    <w:rsid w:val="008208AB"/>
    <w:rsid w:val="00821D3E"/>
    <w:rsid w:val="00825140"/>
    <w:rsid w:val="00826C04"/>
    <w:rsid w:val="00827614"/>
    <w:rsid w:val="00830B90"/>
    <w:rsid w:val="0083140D"/>
    <w:rsid w:val="00831756"/>
    <w:rsid w:val="00831CA2"/>
    <w:rsid w:val="00834D8F"/>
    <w:rsid w:val="00834EFE"/>
    <w:rsid w:val="00840143"/>
    <w:rsid w:val="00840EA7"/>
    <w:rsid w:val="00841BEC"/>
    <w:rsid w:val="008466BE"/>
    <w:rsid w:val="00846DDF"/>
    <w:rsid w:val="00850B82"/>
    <w:rsid w:val="00852194"/>
    <w:rsid w:val="00854A53"/>
    <w:rsid w:val="00856316"/>
    <w:rsid w:val="00856D20"/>
    <w:rsid w:val="00860D8A"/>
    <w:rsid w:val="00861DDB"/>
    <w:rsid w:val="00861E7A"/>
    <w:rsid w:val="0086442B"/>
    <w:rsid w:val="0086626A"/>
    <w:rsid w:val="008671D5"/>
    <w:rsid w:val="00870AB0"/>
    <w:rsid w:val="00871360"/>
    <w:rsid w:val="008734F1"/>
    <w:rsid w:val="008744FB"/>
    <w:rsid w:val="00875CA3"/>
    <w:rsid w:val="0087604D"/>
    <w:rsid w:val="00876576"/>
    <w:rsid w:val="00880AF4"/>
    <w:rsid w:val="00880B53"/>
    <w:rsid w:val="0088134C"/>
    <w:rsid w:val="008815A0"/>
    <w:rsid w:val="00881B49"/>
    <w:rsid w:val="00882D00"/>
    <w:rsid w:val="00883A0A"/>
    <w:rsid w:val="0088473A"/>
    <w:rsid w:val="00885D47"/>
    <w:rsid w:val="00885EB1"/>
    <w:rsid w:val="00886C07"/>
    <w:rsid w:val="0089030E"/>
    <w:rsid w:val="00891B29"/>
    <w:rsid w:val="00891BB8"/>
    <w:rsid w:val="00892DD3"/>
    <w:rsid w:val="00892EC6"/>
    <w:rsid w:val="00893D44"/>
    <w:rsid w:val="00893EFE"/>
    <w:rsid w:val="008A0564"/>
    <w:rsid w:val="008A16B8"/>
    <w:rsid w:val="008A2C2D"/>
    <w:rsid w:val="008A4E3B"/>
    <w:rsid w:val="008B1205"/>
    <w:rsid w:val="008B156A"/>
    <w:rsid w:val="008B1789"/>
    <w:rsid w:val="008B4726"/>
    <w:rsid w:val="008B73D1"/>
    <w:rsid w:val="008C0128"/>
    <w:rsid w:val="008C10E6"/>
    <w:rsid w:val="008C1603"/>
    <w:rsid w:val="008C1829"/>
    <w:rsid w:val="008C2362"/>
    <w:rsid w:val="008C3B24"/>
    <w:rsid w:val="008C50A8"/>
    <w:rsid w:val="008D11E6"/>
    <w:rsid w:val="008D1D8B"/>
    <w:rsid w:val="008D5B2A"/>
    <w:rsid w:val="008D5CDD"/>
    <w:rsid w:val="008D798E"/>
    <w:rsid w:val="008D7A6B"/>
    <w:rsid w:val="008D7DB6"/>
    <w:rsid w:val="008D7E26"/>
    <w:rsid w:val="008E1268"/>
    <w:rsid w:val="008E182A"/>
    <w:rsid w:val="008E2003"/>
    <w:rsid w:val="008E224D"/>
    <w:rsid w:val="008E2459"/>
    <w:rsid w:val="008E3D65"/>
    <w:rsid w:val="008E570E"/>
    <w:rsid w:val="008E6F71"/>
    <w:rsid w:val="008F16EE"/>
    <w:rsid w:val="008F3467"/>
    <w:rsid w:val="008F510A"/>
    <w:rsid w:val="008F51BB"/>
    <w:rsid w:val="008F5917"/>
    <w:rsid w:val="008F63C1"/>
    <w:rsid w:val="008F69B0"/>
    <w:rsid w:val="008F6A2F"/>
    <w:rsid w:val="008F73F8"/>
    <w:rsid w:val="00905CBF"/>
    <w:rsid w:val="00906C53"/>
    <w:rsid w:val="00906FD1"/>
    <w:rsid w:val="00907AE7"/>
    <w:rsid w:val="00910FC3"/>
    <w:rsid w:val="00911295"/>
    <w:rsid w:val="009154A0"/>
    <w:rsid w:val="009164CA"/>
    <w:rsid w:val="00925CA8"/>
    <w:rsid w:val="0092678D"/>
    <w:rsid w:val="00927F38"/>
    <w:rsid w:val="00931562"/>
    <w:rsid w:val="00931A55"/>
    <w:rsid w:val="0093285B"/>
    <w:rsid w:val="0093324F"/>
    <w:rsid w:val="00934BD8"/>
    <w:rsid w:val="0093514E"/>
    <w:rsid w:val="00936C6C"/>
    <w:rsid w:val="009404B1"/>
    <w:rsid w:val="00941A2C"/>
    <w:rsid w:val="00943584"/>
    <w:rsid w:val="00944D3B"/>
    <w:rsid w:val="009458F4"/>
    <w:rsid w:val="009466B4"/>
    <w:rsid w:val="00952277"/>
    <w:rsid w:val="00952517"/>
    <w:rsid w:val="0095601B"/>
    <w:rsid w:val="009577A7"/>
    <w:rsid w:val="009615AE"/>
    <w:rsid w:val="009620BE"/>
    <w:rsid w:val="00962553"/>
    <w:rsid w:val="00962948"/>
    <w:rsid w:val="00966FCC"/>
    <w:rsid w:val="0097153E"/>
    <w:rsid w:val="00973ECB"/>
    <w:rsid w:val="009762C1"/>
    <w:rsid w:val="00984471"/>
    <w:rsid w:val="009846C0"/>
    <w:rsid w:val="00984716"/>
    <w:rsid w:val="00984841"/>
    <w:rsid w:val="00984F3C"/>
    <w:rsid w:val="009857B0"/>
    <w:rsid w:val="0098649C"/>
    <w:rsid w:val="00986542"/>
    <w:rsid w:val="00987015"/>
    <w:rsid w:val="009878A4"/>
    <w:rsid w:val="00991D43"/>
    <w:rsid w:val="009939D3"/>
    <w:rsid w:val="00993F3F"/>
    <w:rsid w:val="009965A5"/>
    <w:rsid w:val="00996E0C"/>
    <w:rsid w:val="009A05F7"/>
    <w:rsid w:val="009A3F52"/>
    <w:rsid w:val="009B19B7"/>
    <w:rsid w:val="009B25BE"/>
    <w:rsid w:val="009B280E"/>
    <w:rsid w:val="009B294C"/>
    <w:rsid w:val="009B50E0"/>
    <w:rsid w:val="009C1A6C"/>
    <w:rsid w:val="009C236A"/>
    <w:rsid w:val="009C3840"/>
    <w:rsid w:val="009C5699"/>
    <w:rsid w:val="009C61A2"/>
    <w:rsid w:val="009C64B0"/>
    <w:rsid w:val="009C6AA9"/>
    <w:rsid w:val="009C6B86"/>
    <w:rsid w:val="009C7233"/>
    <w:rsid w:val="009C74AF"/>
    <w:rsid w:val="009D2B86"/>
    <w:rsid w:val="009D2D4B"/>
    <w:rsid w:val="009D2F4A"/>
    <w:rsid w:val="009D42D2"/>
    <w:rsid w:val="009D4613"/>
    <w:rsid w:val="009D6555"/>
    <w:rsid w:val="009D6782"/>
    <w:rsid w:val="009E1468"/>
    <w:rsid w:val="009E1DF0"/>
    <w:rsid w:val="009E3241"/>
    <w:rsid w:val="009E34BA"/>
    <w:rsid w:val="009E369A"/>
    <w:rsid w:val="009E3B64"/>
    <w:rsid w:val="009E485A"/>
    <w:rsid w:val="009E545A"/>
    <w:rsid w:val="009E66BD"/>
    <w:rsid w:val="009E7D8F"/>
    <w:rsid w:val="009F0D6A"/>
    <w:rsid w:val="009F3276"/>
    <w:rsid w:val="009F7E86"/>
    <w:rsid w:val="00A001F4"/>
    <w:rsid w:val="00A0412C"/>
    <w:rsid w:val="00A05CE7"/>
    <w:rsid w:val="00A0615C"/>
    <w:rsid w:val="00A075AB"/>
    <w:rsid w:val="00A10967"/>
    <w:rsid w:val="00A10AE4"/>
    <w:rsid w:val="00A12305"/>
    <w:rsid w:val="00A152A0"/>
    <w:rsid w:val="00A16798"/>
    <w:rsid w:val="00A168EF"/>
    <w:rsid w:val="00A17B27"/>
    <w:rsid w:val="00A17C11"/>
    <w:rsid w:val="00A17CC8"/>
    <w:rsid w:val="00A20E32"/>
    <w:rsid w:val="00A21E79"/>
    <w:rsid w:val="00A22040"/>
    <w:rsid w:val="00A2327A"/>
    <w:rsid w:val="00A319BC"/>
    <w:rsid w:val="00A32319"/>
    <w:rsid w:val="00A3377B"/>
    <w:rsid w:val="00A3474E"/>
    <w:rsid w:val="00A35D6A"/>
    <w:rsid w:val="00A361BD"/>
    <w:rsid w:val="00A40A92"/>
    <w:rsid w:val="00A42166"/>
    <w:rsid w:val="00A43189"/>
    <w:rsid w:val="00A43BBB"/>
    <w:rsid w:val="00A4508D"/>
    <w:rsid w:val="00A47BA4"/>
    <w:rsid w:val="00A509E6"/>
    <w:rsid w:val="00A50F0D"/>
    <w:rsid w:val="00A534F1"/>
    <w:rsid w:val="00A53686"/>
    <w:rsid w:val="00A53B2F"/>
    <w:rsid w:val="00A562B2"/>
    <w:rsid w:val="00A5719B"/>
    <w:rsid w:val="00A574DD"/>
    <w:rsid w:val="00A63340"/>
    <w:rsid w:val="00A63466"/>
    <w:rsid w:val="00A63FDE"/>
    <w:rsid w:val="00A64031"/>
    <w:rsid w:val="00A641F7"/>
    <w:rsid w:val="00A65310"/>
    <w:rsid w:val="00A7060B"/>
    <w:rsid w:val="00A74B6E"/>
    <w:rsid w:val="00A75F71"/>
    <w:rsid w:val="00A83671"/>
    <w:rsid w:val="00A85181"/>
    <w:rsid w:val="00A872AA"/>
    <w:rsid w:val="00A90C01"/>
    <w:rsid w:val="00A91D7C"/>
    <w:rsid w:val="00A96BDF"/>
    <w:rsid w:val="00AA1CAA"/>
    <w:rsid w:val="00AA1D87"/>
    <w:rsid w:val="00AA2C4D"/>
    <w:rsid w:val="00AA3539"/>
    <w:rsid w:val="00AA4B8E"/>
    <w:rsid w:val="00AA5054"/>
    <w:rsid w:val="00AA5724"/>
    <w:rsid w:val="00AA73ED"/>
    <w:rsid w:val="00AB4CA9"/>
    <w:rsid w:val="00AB6E89"/>
    <w:rsid w:val="00AC072C"/>
    <w:rsid w:val="00AC25C1"/>
    <w:rsid w:val="00AC26BB"/>
    <w:rsid w:val="00AC6E87"/>
    <w:rsid w:val="00AC7200"/>
    <w:rsid w:val="00AC762D"/>
    <w:rsid w:val="00AD0338"/>
    <w:rsid w:val="00AD07F2"/>
    <w:rsid w:val="00AD1D69"/>
    <w:rsid w:val="00AD2F74"/>
    <w:rsid w:val="00AD43D6"/>
    <w:rsid w:val="00AD44E7"/>
    <w:rsid w:val="00AD5A5F"/>
    <w:rsid w:val="00AD74B3"/>
    <w:rsid w:val="00AD7655"/>
    <w:rsid w:val="00AE2B2F"/>
    <w:rsid w:val="00AE39D4"/>
    <w:rsid w:val="00AE5BC0"/>
    <w:rsid w:val="00AF0A39"/>
    <w:rsid w:val="00AF1339"/>
    <w:rsid w:val="00AF1709"/>
    <w:rsid w:val="00AF1ACD"/>
    <w:rsid w:val="00AF2199"/>
    <w:rsid w:val="00AF36DC"/>
    <w:rsid w:val="00AF49C2"/>
    <w:rsid w:val="00AF693A"/>
    <w:rsid w:val="00B00F50"/>
    <w:rsid w:val="00B01741"/>
    <w:rsid w:val="00B019F0"/>
    <w:rsid w:val="00B01C44"/>
    <w:rsid w:val="00B0312D"/>
    <w:rsid w:val="00B04E3A"/>
    <w:rsid w:val="00B0591D"/>
    <w:rsid w:val="00B072FB"/>
    <w:rsid w:val="00B0775A"/>
    <w:rsid w:val="00B10B6D"/>
    <w:rsid w:val="00B117CD"/>
    <w:rsid w:val="00B12554"/>
    <w:rsid w:val="00B13432"/>
    <w:rsid w:val="00B1612F"/>
    <w:rsid w:val="00B202C9"/>
    <w:rsid w:val="00B2177C"/>
    <w:rsid w:val="00B232E1"/>
    <w:rsid w:val="00B23F72"/>
    <w:rsid w:val="00B25081"/>
    <w:rsid w:val="00B25E73"/>
    <w:rsid w:val="00B267A9"/>
    <w:rsid w:val="00B314EE"/>
    <w:rsid w:val="00B32482"/>
    <w:rsid w:val="00B33143"/>
    <w:rsid w:val="00B33377"/>
    <w:rsid w:val="00B33424"/>
    <w:rsid w:val="00B33B03"/>
    <w:rsid w:val="00B3458B"/>
    <w:rsid w:val="00B34D69"/>
    <w:rsid w:val="00B3744F"/>
    <w:rsid w:val="00B40FC7"/>
    <w:rsid w:val="00B45781"/>
    <w:rsid w:val="00B508EF"/>
    <w:rsid w:val="00B51266"/>
    <w:rsid w:val="00B513F5"/>
    <w:rsid w:val="00B5189B"/>
    <w:rsid w:val="00B51BA7"/>
    <w:rsid w:val="00B51D99"/>
    <w:rsid w:val="00B51F18"/>
    <w:rsid w:val="00B538CF"/>
    <w:rsid w:val="00B5395F"/>
    <w:rsid w:val="00B54D6F"/>
    <w:rsid w:val="00B60C7B"/>
    <w:rsid w:val="00B610DA"/>
    <w:rsid w:val="00B62205"/>
    <w:rsid w:val="00B62E8F"/>
    <w:rsid w:val="00B63374"/>
    <w:rsid w:val="00B6426B"/>
    <w:rsid w:val="00B64418"/>
    <w:rsid w:val="00B66C7C"/>
    <w:rsid w:val="00B704E1"/>
    <w:rsid w:val="00B74395"/>
    <w:rsid w:val="00B76004"/>
    <w:rsid w:val="00B7624E"/>
    <w:rsid w:val="00B77065"/>
    <w:rsid w:val="00B77EE6"/>
    <w:rsid w:val="00B80182"/>
    <w:rsid w:val="00B80C84"/>
    <w:rsid w:val="00B83DFB"/>
    <w:rsid w:val="00B85AB0"/>
    <w:rsid w:val="00B87698"/>
    <w:rsid w:val="00B912C1"/>
    <w:rsid w:val="00B936D7"/>
    <w:rsid w:val="00B94E82"/>
    <w:rsid w:val="00B95854"/>
    <w:rsid w:val="00BA0228"/>
    <w:rsid w:val="00BA12DD"/>
    <w:rsid w:val="00BA1B58"/>
    <w:rsid w:val="00BA34B2"/>
    <w:rsid w:val="00BA4834"/>
    <w:rsid w:val="00BA6A46"/>
    <w:rsid w:val="00BB103C"/>
    <w:rsid w:val="00BB10A2"/>
    <w:rsid w:val="00BB617D"/>
    <w:rsid w:val="00BB6D7A"/>
    <w:rsid w:val="00BB76EB"/>
    <w:rsid w:val="00BC2D69"/>
    <w:rsid w:val="00BC2EE7"/>
    <w:rsid w:val="00BC67C7"/>
    <w:rsid w:val="00BD10E0"/>
    <w:rsid w:val="00BD28B6"/>
    <w:rsid w:val="00BD4B38"/>
    <w:rsid w:val="00BD58C3"/>
    <w:rsid w:val="00BE08C9"/>
    <w:rsid w:val="00BE09CB"/>
    <w:rsid w:val="00BE1942"/>
    <w:rsid w:val="00BE1B8F"/>
    <w:rsid w:val="00BE2E8B"/>
    <w:rsid w:val="00BE3694"/>
    <w:rsid w:val="00BE4DE0"/>
    <w:rsid w:val="00BE5954"/>
    <w:rsid w:val="00BE5CC3"/>
    <w:rsid w:val="00BE5CC4"/>
    <w:rsid w:val="00BE6848"/>
    <w:rsid w:val="00BE6E9B"/>
    <w:rsid w:val="00BF08DA"/>
    <w:rsid w:val="00BF3782"/>
    <w:rsid w:val="00BF425B"/>
    <w:rsid w:val="00BF5D92"/>
    <w:rsid w:val="00BF74BA"/>
    <w:rsid w:val="00BF7DF6"/>
    <w:rsid w:val="00C018FC"/>
    <w:rsid w:val="00C037BF"/>
    <w:rsid w:val="00C04D54"/>
    <w:rsid w:val="00C0533D"/>
    <w:rsid w:val="00C05C16"/>
    <w:rsid w:val="00C06A5A"/>
    <w:rsid w:val="00C06E9A"/>
    <w:rsid w:val="00C1039A"/>
    <w:rsid w:val="00C11330"/>
    <w:rsid w:val="00C11CBD"/>
    <w:rsid w:val="00C11E7C"/>
    <w:rsid w:val="00C23068"/>
    <w:rsid w:val="00C236A2"/>
    <w:rsid w:val="00C24EF0"/>
    <w:rsid w:val="00C2676E"/>
    <w:rsid w:val="00C3063F"/>
    <w:rsid w:val="00C326C8"/>
    <w:rsid w:val="00C35D20"/>
    <w:rsid w:val="00C36758"/>
    <w:rsid w:val="00C404C4"/>
    <w:rsid w:val="00C41509"/>
    <w:rsid w:val="00C43015"/>
    <w:rsid w:val="00C43F68"/>
    <w:rsid w:val="00C44C15"/>
    <w:rsid w:val="00C46E9E"/>
    <w:rsid w:val="00C50393"/>
    <w:rsid w:val="00C54ACE"/>
    <w:rsid w:val="00C54B27"/>
    <w:rsid w:val="00C57369"/>
    <w:rsid w:val="00C600E9"/>
    <w:rsid w:val="00C628E7"/>
    <w:rsid w:val="00C63AC7"/>
    <w:rsid w:val="00C65AF5"/>
    <w:rsid w:val="00C70778"/>
    <w:rsid w:val="00C717BD"/>
    <w:rsid w:val="00C71C91"/>
    <w:rsid w:val="00C72D02"/>
    <w:rsid w:val="00C75E49"/>
    <w:rsid w:val="00C7622D"/>
    <w:rsid w:val="00C80850"/>
    <w:rsid w:val="00C80901"/>
    <w:rsid w:val="00C80A53"/>
    <w:rsid w:val="00C82316"/>
    <w:rsid w:val="00C823AF"/>
    <w:rsid w:val="00C8366C"/>
    <w:rsid w:val="00C83974"/>
    <w:rsid w:val="00C83BFC"/>
    <w:rsid w:val="00C84152"/>
    <w:rsid w:val="00C90322"/>
    <w:rsid w:val="00C923E9"/>
    <w:rsid w:val="00C92710"/>
    <w:rsid w:val="00C94249"/>
    <w:rsid w:val="00C967E0"/>
    <w:rsid w:val="00C9789C"/>
    <w:rsid w:val="00CA00A3"/>
    <w:rsid w:val="00CA230C"/>
    <w:rsid w:val="00CA3CB0"/>
    <w:rsid w:val="00CA5F30"/>
    <w:rsid w:val="00CA62F5"/>
    <w:rsid w:val="00CA6EDE"/>
    <w:rsid w:val="00CA795C"/>
    <w:rsid w:val="00CB1672"/>
    <w:rsid w:val="00CB2F48"/>
    <w:rsid w:val="00CB354E"/>
    <w:rsid w:val="00CB3776"/>
    <w:rsid w:val="00CB4C17"/>
    <w:rsid w:val="00CB6DA6"/>
    <w:rsid w:val="00CB71BE"/>
    <w:rsid w:val="00CC2206"/>
    <w:rsid w:val="00CC3703"/>
    <w:rsid w:val="00CD207B"/>
    <w:rsid w:val="00CD54AB"/>
    <w:rsid w:val="00CD6290"/>
    <w:rsid w:val="00CD6F61"/>
    <w:rsid w:val="00CD7A5F"/>
    <w:rsid w:val="00CE0C92"/>
    <w:rsid w:val="00CE13D6"/>
    <w:rsid w:val="00CE3DF1"/>
    <w:rsid w:val="00CE546A"/>
    <w:rsid w:val="00CE6822"/>
    <w:rsid w:val="00CE7B28"/>
    <w:rsid w:val="00CF168F"/>
    <w:rsid w:val="00CF441F"/>
    <w:rsid w:val="00CF4E79"/>
    <w:rsid w:val="00D00977"/>
    <w:rsid w:val="00D01E37"/>
    <w:rsid w:val="00D021D2"/>
    <w:rsid w:val="00D02A08"/>
    <w:rsid w:val="00D02BB9"/>
    <w:rsid w:val="00D02BE6"/>
    <w:rsid w:val="00D0315C"/>
    <w:rsid w:val="00D0389F"/>
    <w:rsid w:val="00D0564E"/>
    <w:rsid w:val="00D056E8"/>
    <w:rsid w:val="00D07B6A"/>
    <w:rsid w:val="00D07C49"/>
    <w:rsid w:val="00D14D67"/>
    <w:rsid w:val="00D16C85"/>
    <w:rsid w:val="00D24F2D"/>
    <w:rsid w:val="00D348AD"/>
    <w:rsid w:val="00D3541D"/>
    <w:rsid w:val="00D369D2"/>
    <w:rsid w:val="00D37535"/>
    <w:rsid w:val="00D40C51"/>
    <w:rsid w:val="00D41708"/>
    <w:rsid w:val="00D4383D"/>
    <w:rsid w:val="00D43A62"/>
    <w:rsid w:val="00D445C6"/>
    <w:rsid w:val="00D50CAD"/>
    <w:rsid w:val="00D51F17"/>
    <w:rsid w:val="00D54688"/>
    <w:rsid w:val="00D559F1"/>
    <w:rsid w:val="00D57076"/>
    <w:rsid w:val="00D600D6"/>
    <w:rsid w:val="00D611C5"/>
    <w:rsid w:val="00D6177B"/>
    <w:rsid w:val="00D62EE9"/>
    <w:rsid w:val="00D65F2F"/>
    <w:rsid w:val="00D7005B"/>
    <w:rsid w:val="00D70221"/>
    <w:rsid w:val="00D71FDC"/>
    <w:rsid w:val="00D729DB"/>
    <w:rsid w:val="00D734C9"/>
    <w:rsid w:val="00D739C4"/>
    <w:rsid w:val="00D7464A"/>
    <w:rsid w:val="00D74CB4"/>
    <w:rsid w:val="00D750EB"/>
    <w:rsid w:val="00D75AC7"/>
    <w:rsid w:val="00D76590"/>
    <w:rsid w:val="00D76E9D"/>
    <w:rsid w:val="00D76F5F"/>
    <w:rsid w:val="00D81B9B"/>
    <w:rsid w:val="00D85DD7"/>
    <w:rsid w:val="00D86883"/>
    <w:rsid w:val="00D8691C"/>
    <w:rsid w:val="00D87320"/>
    <w:rsid w:val="00D87F3E"/>
    <w:rsid w:val="00D90EF2"/>
    <w:rsid w:val="00D91750"/>
    <w:rsid w:val="00D968F5"/>
    <w:rsid w:val="00D9720F"/>
    <w:rsid w:val="00DA11A0"/>
    <w:rsid w:val="00DA13F7"/>
    <w:rsid w:val="00DA16BC"/>
    <w:rsid w:val="00DA4D6C"/>
    <w:rsid w:val="00DA628A"/>
    <w:rsid w:val="00DA6B24"/>
    <w:rsid w:val="00DA6B42"/>
    <w:rsid w:val="00DA6F65"/>
    <w:rsid w:val="00DB0570"/>
    <w:rsid w:val="00DB1732"/>
    <w:rsid w:val="00DB3FD0"/>
    <w:rsid w:val="00DB4486"/>
    <w:rsid w:val="00DB449B"/>
    <w:rsid w:val="00DB4DAD"/>
    <w:rsid w:val="00DB6315"/>
    <w:rsid w:val="00DB765A"/>
    <w:rsid w:val="00DC1682"/>
    <w:rsid w:val="00DC1861"/>
    <w:rsid w:val="00DC1A67"/>
    <w:rsid w:val="00DC317D"/>
    <w:rsid w:val="00DC3225"/>
    <w:rsid w:val="00DC7CE5"/>
    <w:rsid w:val="00DD04AF"/>
    <w:rsid w:val="00DD305D"/>
    <w:rsid w:val="00DD34BA"/>
    <w:rsid w:val="00DD4A47"/>
    <w:rsid w:val="00DD5C4E"/>
    <w:rsid w:val="00DD6908"/>
    <w:rsid w:val="00DD6AF4"/>
    <w:rsid w:val="00DD6EA7"/>
    <w:rsid w:val="00DD7371"/>
    <w:rsid w:val="00DD7735"/>
    <w:rsid w:val="00DE0DEE"/>
    <w:rsid w:val="00DE2129"/>
    <w:rsid w:val="00DE3967"/>
    <w:rsid w:val="00DE3D23"/>
    <w:rsid w:val="00DE55AA"/>
    <w:rsid w:val="00DE5A00"/>
    <w:rsid w:val="00DE5A9E"/>
    <w:rsid w:val="00DE7C55"/>
    <w:rsid w:val="00DF16B6"/>
    <w:rsid w:val="00DF3154"/>
    <w:rsid w:val="00DF4084"/>
    <w:rsid w:val="00DF57D5"/>
    <w:rsid w:val="00DF7137"/>
    <w:rsid w:val="00DF727A"/>
    <w:rsid w:val="00DF745D"/>
    <w:rsid w:val="00E02F61"/>
    <w:rsid w:val="00E03FE7"/>
    <w:rsid w:val="00E045E0"/>
    <w:rsid w:val="00E0492F"/>
    <w:rsid w:val="00E04CB2"/>
    <w:rsid w:val="00E04D9E"/>
    <w:rsid w:val="00E06D67"/>
    <w:rsid w:val="00E10E60"/>
    <w:rsid w:val="00E1208E"/>
    <w:rsid w:val="00E12A8A"/>
    <w:rsid w:val="00E13188"/>
    <w:rsid w:val="00E13CD4"/>
    <w:rsid w:val="00E155F3"/>
    <w:rsid w:val="00E16E83"/>
    <w:rsid w:val="00E21DA3"/>
    <w:rsid w:val="00E21F59"/>
    <w:rsid w:val="00E22FF4"/>
    <w:rsid w:val="00E248D2"/>
    <w:rsid w:val="00E26E7F"/>
    <w:rsid w:val="00E317DB"/>
    <w:rsid w:val="00E32F52"/>
    <w:rsid w:val="00E333D7"/>
    <w:rsid w:val="00E348EC"/>
    <w:rsid w:val="00E349A9"/>
    <w:rsid w:val="00E35FDD"/>
    <w:rsid w:val="00E36FDF"/>
    <w:rsid w:val="00E37D32"/>
    <w:rsid w:val="00E37E3C"/>
    <w:rsid w:val="00E408E2"/>
    <w:rsid w:val="00E42072"/>
    <w:rsid w:val="00E46ABB"/>
    <w:rsid w:val="00E46B76"/>
    <w:rsid w:val="00E472D5"/>
    <w:rsid w:val="00E47905"/>
    <w:rsid w:val="00E5253E"/>
    <w:rsid w:val="00E52F19"/>
    <w:rsid w:val="00E54129"/>
    <w:rsid w:val="00E54557"/>
    <w:rsid w:val="00E609BD"/>
    <w:rsid w:val="00E60A00"/>
    <w:rsid w:val="00E6451F"/>
    <w:rsid w:val="00E660A6"/>
    <w:rsid w:val="00E66828"/>
    <w:rsid w:val="00E708C3"/>
    <w:rsid w:val="00E70C8E"/>
    <w:rsid w:val="00E72714"/>
    <w:rsid w:val="00E733FD"/>
    <w:rsid w:val="00E73910"/>
    <w:rsid w:val="00E73DC1"/>
    <w:rsid w:val="00E7472A"/>
    <w:rsid w:val="00E76B33"/>
    <w:rsid w:val="00E77594"/>
    <w:rsid w:val="00E80025"/>
    <w:rsid w:val="00E8015E"/>
    <w:rsid w:val="00E80557"/>
    <w:rsid w:val="00E8084E"/>
    <w:rsid w:val="00E87DB7"/>
    <w:rsid w:val="00E9102B"/>
    <w:rsid w:val="00E91AC5"/>
    <w:rsid w:val="00E930DF"/>
    <w:rsid w:val="00E93B07"/>
    <w:rsid w:val="00E957B5"/>
    <w:rsid w:val="00E9655F"/>
    <w:rsid w:val="00E97449"/>
    <w:rsid w:val="00EA1059"/>
    <w:rsid w:val="00EA14C7"/>
    <w:rsid w:val="00EA3EDD"/>
    <w:rsid w:val="00EA5FE4"/>
    <w:rsid w:val="00EA72F5"/>
    <w:rsid w:val="00EA776A"/>
    <w:rsid w:val="00EB01D9"/>
    <w:rsid w:val="00EB242B"/>
    <w:rsid w:val="00EB3215"/>
    <w:rsid w:val="00EB4ABF"/>
    <w:rsid w:val="00EB7002"/>
    <w:rsid w:val="00EC4428"/>
    <w:rsid w:val="00EC4FC9"/>
    <w:rsid w:val="00EC5C1B"/>
    <w:rsid w:val="00EC73F1"/>
    <w:rsid w:val="00EC79BE"/>
    <w:rsid w:val="00ED0505"/>
    <w:rsid w:val="00ED1619"/>
    <w:rsid w:val="00ED2576"/>
    <w:rsid w:val="00ED475A"/>
    <w:rsid w:val="00ED5494"/>
    <w:rsid w:val="00ED7383"/>
    <w:rsid w:val="00ED7531"/>
    <w:rsid w:val="00EE4B93"/>
    <w:rsid w:val="00EE5F83"/>
    <w:rsid w:val="00EE756B"/>
    <w:rsid w:val="00EF0B38"/>
    <w:rsid w:val="00EF183F"/>
    <w:rsid w:val="00EF29B0"/>
    <w:rsid w:val="00EF5406"/>
    <w:rsid w:val="00F00210"/>
    <w:rsid w:val="00F034FA"/>
    <w:rsid w:val="00F04769"/>
    <w:rsid w:val="00F06A5E"/>
    <w:rsid w:val="00F06BE5"/>
    <w:rsid w:val="00F07338"/>
    <w:rsid w:val="00F07726"/>
    <w:rsid w:val="00F07B37"/>
    <w:rsid w:val="00F10369"/>
    <w:rsid w:val="00F14545"/>
    <w:rsid w:val="00F154D6"/>
    <w:rsid w:val="00F15AB7"/>
    <w:rsid w:val="00F16268"/>
    <w:rsid w:val="00F20295"/>
    <w:rsid w:val="00F215F4"/>
    <w:rsid w:val="00F21D05"/>
    <w:rsid w:val="00F21EAE"/>
    <w:rsid w:val="00F22D8B"/>
    <w:rsid w:val="00F26150"/>
    <w:rsid w:val="00F30069"/>
    <w:rsid w:val="00F30478"/>
    <w:rsid w:val="00F30651"/>
    <w:rsid w:val="00F306C3"/>
    <w:rsid w:val="00F31D7C"/>
    <w:rsid w:val="00F32528"/>
    <w:rsid w:val="00F32E13"/>
    <w:rsid w:val="00F32E53"/>
    <w:rsid w:val="00F33238"/>
    <w:rsid w:val="00F37900"/>
    <w:rsid w:val="00F40014"/>
    <w:rsid w:val="00F40D06"/>
    <w:rsid w:val="00F41A3A"/>
    <w:rsid w:val="00F42431"/>
    <w:rsid w:val="00F430EE"/>
    <w:rsid w:val="00F43897"/>
    <w:rsid w:val="00F4457D"/>
    <w:rsid w:val="00F46870"/>
    <w:rsid w:val="00F4730E"/>
    <w:rsid w:val="00F52F1E"/>
    <w:rsid w:val="00F60114"/>
    <w:rsid w:val="00F64FBE"/>
    <w:rsid w:val="00F66B09"/>
    <w:rsid w:val="00F70F1B"/>
    <w:rsid w:val="00F722AC"/>
    <w:rsid w:val="00F73917"/>
    <w:rsid w:val="00F73F01"/>
    <w:rsid w:val="00F74A1C"/>
    <w:rsid w:val="00F76EF4"/>
    <w:rsid w:val="00F8519F"/>
    <w:rsid w:val="00F87D98"/>
    <w:rsid w:val="00F90E05"/>
    <w:rsid w:val="00F92F63"/>
    <w:rsid w:val="00F92FAB"/>
    <w:rsid w:val="00F936C7"/>
    <w:rsid w:val="00F93C74"/>
    <w:rsid w:val="00F94630"/>
    <w:rsid w:val="00F94F34"/>
    <w:rsid w:val="00F9711E"/>
    <w:rsid w:val="00FA198C"/>
    <w:rsid w:val="00FA26FE"/>
    <w:rsid w:val="00FA2A06"/>
    <w:rsid w:val="00FA6A4A"/>
    <w:rsid w:val="00FA6F68"/>
    <w:rsid w:val="00FA71FD"/>
    <w:rsid w:val="00FA7725"/>
    <w:rsid w:val="00FB05DA"/>
    <w:rsid w:val="00FB332B"/>
    <w:rsid w:val="00FB413A"/>
    <w:rsid w:val="00FB520A"/>
    <w:rsid w:val="00FB5B6B"/>
    <w:rsid w:val="00FB7E2B"/>
    <w:rsid w:val="00FC0474"/>
    <w:rsid w:val="00FC0555"/>
    <w:rsid w:val="00FC0E20"/>
    <w:rsid w:val="00FC0F0D"/>
    <w:rsid w:val="00FC3010"/>
    <w:rsid w:val="00FC384F"/>
    <w:rsid w:val="00FC3C91"/>
    <w:rsid w:val="00FC6DA5"/>
    <w:rsid w:val="00FC7745"/>
    <w:rsid w:val="00FD054D"/>
    <w:rsid w:val="00FD3EAC"/>
    <w:rsid w:val="00FD6FE4"/>
    <w:rsid w:val="00FE00E2"/>
    <w:rsid w:val="00FE24D3"/>
    <w:rsid w:val="00FE3E16"/>
    <w:rsid w:val="00FE5F6F"/>
    <w:rsid w:val="00FE6A19"/>
    <w:rsid w:val="00FE6DCC"/>
    <w:rsid w:val="00FF0562"/>
    <w:rsid w:val="00FF220F"/>
    <w:rsid w:val="00FF3937"/>
    <w:rsid w:val="00FF4787"/>
    <w:rsid w:val="00FF534C"/>
    <w:rsid w:val="00FF54B8"/>
    <w:rsid w:val="00FF68E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5F3F8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toc 1" w:uiPriority="39"/>
    <w:lsdException w:name="toc 2" w:uiPriority="39"/>
    <w:lsdException w:name="HTML Cite" w:uiPriority="99"/>
    <w:lsdException w:name="List Paragraph" w:uiPriority="34" w:qFormat="1"/>
  </w:latentStyles>
  <w:style w:type="paragraph" w:default="1" w:styleId="Normal">
    <w:name w:val="Normal"/>
    <w:qFormat/>
  </w:style>
  <w:style w:type="paragraph" w:styleId="Heading1">
    <w:name w:val="heading 1"/>
    <w:basedOn w:val="Normal"/>
    <w:next w:val="Normal"/>
    <w:link w:val="Heading1Char"/>
    <w:uiPriority w:val="9"/>
    <w:qFormat/>
    <w:rsid w:val="00394EA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631EF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631EF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B508EF"/>
    <w:rPr>
      <w:rFonts w:ascii="Lucida Grande" w:hAnsi="Lucida Grande"/>
      <w:sz w:val="18"/>
      <w:szCs w:val="18"/>
    </w:rPr>
  </w:style>
  <w:style w:type="character" w:customStyle="1" w:styleId="BalloonTextChar">
    <w:name w:val="Balloon Text Char"/>
    <w:basedOn w:val="DefaultParagraphFont"/>
    <w:uiPriority w:val="99"/>
    <w:semiHidden/>
    <w:rsid w:val="00D56485"/>
    <w:rPr>
      <w:rFonts w:ascii="Lucida Grande" w:hAnsi="Lucida Grande"/>
      <w:sz w:val="18"/>
      <w:szCs w:val="18"/>
    </w:rPr>
  </w:style>
  <w:style w:type="character" w:customStyle="1" w:styleId="BalloonTextChar0">
    <w:name w:val="Balloon Text Char"/>
    <w:basedOn w:val="DefaultParagraphFont"/>
    <w:uiPriority w:val="99"/>
    <w:semiHidden/>
    <w:rsid w:val="00050360"/>
    <w:rPr>
      <w:rFonts w:ascii="Lucida Grande" w:hAnsi="Lucida Grande"/>
      <w:sz w:val="18"/>
      <w:szCs w:val="18"/>
    </w:rPr>
  </w:style>
  <w:style w:type="character" w:customStyle="1" w:styleId="BalloonTextChar2">
    <w:name w:val="Balloon Text Char"/>
    <w:basedOn w:val="DefaultParagraphFont"/>
    <w:uiPriority w:val="99"/>
    <w:semiHidden/>
    <w:rsid w:val="00C20B8A"/>
    <w:rPr>
      <w:rFonts w:ascii="Lucida Grande" w:hAnsi="Lucida Grande"/>
      <w:sz w:val="18"/>
      <w:szCs w:val="18"/>
    </w:rPr>
  </w:style>
  <w:style w:type="character" w:customStyle="1" w:styleId="BalloonTextChar3">
    <w:name w:val="Balloon Text Char"/>
    <w:basedOn w:val="DefaultParagraphFont"/>
    <w:uiPriority w:val="99"/>
    <w:semiHidden/>
    <w:rsid w:val="00C20B8A"/>
    <w:rPr>
      <w:rFonts w:ascii="Lucida Grande" w:hAnsi="Lucida Grande"/>
      <w:sz w:val="18"/>
      <w:szCs w:val="18"/>
    </w:rPr>
  </w:style>
  <w:style w:type="character" w:customStyle="1" w:styleId="BalloonTextChar4">
    <w:name w:val="Balloon Text Char"/>
    <w:basedOn w:val="DefaultParagraphFont"/>
    <w:uiPriority w:val="99"/>
    <w:semiHidden/>
    <w:rsid w:val="00596E36"/>
    <w:rPr>
      <w:rFonts w:ascii="Lucida Grande" w:hAnsi="Lucida Grande"/>
      <w:sz w:val="18"/>
      <w:szCs w:val="18"/>
    </w:rPr>
  </w:style>
  <w:style w:type="table" w:styleId="TableGrid">
    <w:name w:val="Table Grid"/>
    <w:basedOn w:val="TableNormal"/>
    <w:uiPriority w:val="59"/>
    <w:rsid w:val="00B508E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B508EF"/>
    <w:pPr>
      <w:ind w:left="720"/>
      <w:contextualSpacing/>
    </w:pPr>
  </w:style>
  <w:style w:type="character" w:styleId="Hyperlink">
    <w:name w:val="Hyperlink"/>
    <w:basedOn w:val="DefaultParagraphFont"/>
    <w:rsid w:val="00B508EF"/>
    <w:rPr>
      <w:color w:val="0000FF"/>
      <w:u w:val="single"/>
    </w:rPr>
  </w:style>
  <w:style w:type="character" w:styleId="HTMLCite">
    <w:name w:val="HTML Cite"/>
    <w:basedOn w:val="DefaultParagraphFont"/>
    <w:uiPriority w:val="99"/>
    <w:rsid w:val="00B508EF"/>
    <w:rPr>
      <w:i/>
    </w:rPr>
  </w:style>
  <w:style w:type="character" w:customStyle="1" w:styleId="BalloonTextChar1">
    <w:name w:val="Balloon Text Char1"/>
    <w:basedOn w:val="DefaultParagraphFont"/>
    <w:link w:val="BalloonText"/>
    <w:uiPriority w:val="99"/>
    <w:semiHidden/>
    <w:rsid w:val="00B508EF"/>
    <w:rPr>
      <w:rFonts w:ascii="Lucida Grande" w:hAnsi="Lucida Grande"/>
      <w:sz w:val="18"/>
      <w:szCs w:val="18"/>
    </w:rPr>
  </w:style>
  <w:style w:type="paragraph" w:styleId="Footer">
    <w:name w:val="footer"/>
    <w:basedOn w:val="Normal"/>
    <w:link w:val="FooterChar"/>
    <w:uiPriority w:val="99"/>
    <w:unhideWhenUsed/>
    <w:rsid w:val="004424D3"/>
    <w:pPr>
      <w:tabs>
        <w:tab w:val="center" w:pos="4320"/>
        <w:tab w:val="right" w:pos="8640"/>
      </w:tabs>
    </w:pPr>
  </w:style>
  <w:style w:type="character" w:customStyle="1" w:styleId="FooterChar">
    <w:name w:val="Footer Char"/>
    <w:basedOn w:val="DefaultParagraphFont"/>
    <w:link w:val="Footer"/>
    <w:uiPriority w:val="99"/>
    <w:rsid w:val="004424D3"/>
    <w:rPr>
      <w:sz w:val="24"/>
      <w:szCs w:val="24"/>
    </w:rPr>
  </w:style>
  <w:style w:type="character" w:styleId="PageNumber">
    <w:name w:val="page number"/>
    <w:basedOn w:val="DefaultParagraphFont"/>
    <w:uiPriority w:val="99"/>
    <w:semiHidden/>
    <w:unhideWhenUsed/>
    <w:rsid w:val="004424D3"/>
  </w:style>
  <w:style w:type="paragraph" w:styleId="Header">
    <w:name w:val="header"/>
    <w:basedOn w:val="Normal"/>
    <w:link w:val="HeaderChar"/>
    <w:uiPriority w:val="99"/>
    <w:unhideWhenUsed/>
    <w:rsid w:val="00394EA6"/>
    <w:pPr>
      <w:tabs>
        <w:tab w:val="center" w:pos="4320"/>
        <w:tab w:val="right" w:pos="8640"/>
      </w:tabs>
    </w:pPr>
  </w:style>
  <w:style w:type="character" w:customStyle="1" w:styleId="HeaderChar">
    <w:name w:val="Header Char"/>
    <w:basedOn w:val="DefaultParagraphFont"/>
    <w:link w:val="Header"/>
    <w:uiPriority w:val="99"/>
    <w:rsid w:val="00394EA6"/>
    <w:rPr>
      <w:sz w:val="24"/>
      <w:szCs w:val="24"/>
    </w:rPr>
  </w:style>
  <w:style w:type="character" w:customStyle="1" w:styleId="Heading1Char">
    <w:name w:val="Heading 1 Char"/>
    <w:basedOn w:val="DefaultParagraphFont"/>
    <w:link w:val="Heading1"/>
    <w:uiPriority w:val="9"/>
    <w:rsid w:val="00394EA6"/>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394EA6"/>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394EA6"/>
    <w:pPr>
      <w:spacing w:before="120"/>
    </w:pPr>
    <w:rPr>
      <w:rFonts w:asciiTheme="majorHAnsi" w:hAnsiTheme="majorHAnsi"/>
      <w:b/>
      <w:color w:val="548DD4"/>
    </w:rPr>
  </w:style>
  <w:style w:type="paragraph" w:styleId="TOC2">
    <w:name w:val="toc 2"/>
    <w:basedOn w:val="Normal"/>
    <w:next w:val="Normal"/>
    <w:autoRedefine/>
    <w:uiPriority w:val="39"/>
    <w:unhideWhenUsed/>
    <w:rsid w:val="008A0564"/>
  </w:style>
  <w:style w:type="paragraph" w:styleId="TOC3">
    <w:name w:val="toc 3"/>
    <w:basedOn w:val="Normal"/>
    <w:next w:val="Normal"/>
    <w:autoRedefine/>
    <w:uiPriority w:val="39"/>
    <w:semiHidden/>
    <w:unhideWhenUsed/>
    <w:rsid w:val="00394EA6"/>
    <w:pPr>
      <w:ind w:left="240"/>
    </w:pPr>
    <w:rPr>
      <w:i/>
      <w:sz w:val="22"/>
      <w:szCs w:val="22"/>
    </w:rPr>
  </w:style>
  <w:style w:type="paragraph" w:styleId="TOC4">
    <w:name w:val="toc 4"/>
    <w:basedOn w:val="Normal"/>
    <w:next w:val="Normal"/>
    <w:autoRedefine/>
    <w:uiPriority w:val="39"/>
    <w:semiHidden/>
    <w:unhideWhenUsed/>
    <w:rsid w:val="00394EA6"/>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394EA6"/>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394EA6"/>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394EA6"/>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394EA6"/>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394EA6"/>
    <w:pPr>
      <w:pBdr>
        <w:between w:val="double" w:sz="6" w:space="0" w:color="auto"/>
      </w:pBdr>
      <w:ind w:left="1680"/>
    </w:pPr>
    <w:rPr>
      <w:sz w:val="20"/>
      <w:szCs w:val="20"/>
    </w:rPr>
  </w:style>
  <w:style w:type="character" w:customStyle="1" w:styleId="Heading2Char">
    <w:name w:val="Heading 2 Char"/>
    <w:basedOn w:val="DefaultParagraphFont"/>
    <w:link w:val="Heading2"/>
    <w:rsid w:val="00631EF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631EFD"/>
    <w:rPr>
      <w:rFonts w:asciiTheme="majorHAnsi" w:eastAsiaTheme="majorEastAsia" w:hAnsiTheme="majorHAnsi" w:cstheme="majorBidi"/>
      <w:b/>
      <w:bCs/>
      <w:color w:val="4F81BD" w:themeColor="accent1"/>
      <w:sz w:val="24"/>
      <w:szCs w:val="24"/>
    </w:rPr>
  </w:style>
  <w:style w:type="paragraph" w:styleId="FootnoteText">
    <w:name w:val="footnote text"/>
    <w:basedOn w:val="Normal"/>
    <w:link w:val="FootnoteTextChar"/>
    <w:unhideWhenUsed/>
    <w:rsid w:val="00625946"/>
    <w:rPr>
      <w:rFonts w:ascii="Cambria" w:eastAsia="Cambria" w:hAnsi="Cambria" w:cs="Times New Roman"/>
    </w:rPr>
  </w:style>
  <w:style w:type="character" w:customStyle="1" w:styleId="FootnoteTextChar">
    <w:name w:val="Footnote Text Char"/>
    <w:basedOn w:val="DefaultParagraphFont"/>
    <w:link w:val="FootnoteText"/>
    <w:rsid w:val="00625946"/>
    <w:rPr>
      <w:rFonts w:ascii="Cambria" w:eastAsia="Cambria" w:hAnsi="Cambria" w:cs="Times New Roman"/>
      <w:sz w:val="24"/>
      <w:szCs w:val="24"/>
    </w:rPr>
  </w:style>
  <w:style w:type="character" w:styleId="FootnoteReference">
    <w:name w:val="footnote reference"/>
    <w:basedOn w:val="DefaultParagraphFont"/>
    <w:unhideWhenUsed/>
    <w:rsid w:val="00625946"/>
    <w:rPr>
      <w:vertAlign w:val="superscript"/>
    </w:rPr>
  </w:style>
  <w:style w:type="paragraph" w:styleId="NormalWeb">
    <w:name w:val="Normal (Web)"/>
    <w:basedOn w:val="Normal"/>
    <w:uiPriority w:val="99"/>
    <w:rsid w:val="00F92F63"/>
    <w:pPr>
      <w:spacing w:beforeLines="1" w:afterLines="1"/>
    </w:pPr>
    <w:rPr>
      <w:rFonts w:ascii="Times" w:hAnsi="Times" w:cs="Times New Roman"/>
      <w:sz w:val="20"/>
      <w:szCs w:val="20"/>
    </w:rPr>
  </w:style>
  <w:style w:type="character" w:customStyle="1" w:styleId="CharChar1">
    <w:name w:val="Char Char1"/>
    <w:basedOn w:val="DefaultParagraphFont"/>
    <w:semiHidden/>
    <w:rsid w:val="00F16268"/>
    <w:rPr>
      <w:lang w:val="en-US" w:eastAsia="en-US" w:bidi="ar-SA"/>
    </w:rPr>
  </w:style>
  <w:style w:type="paragraph" w:customStyle="1" w:styleId="heading">
    <w:name w:val="heading"/>
    <w:basedOn w:val="TOC1"/>
    <w:rsid w:val="00294CEB"/>
    <w:rPr>
      <w:rFonts w:ascii="Cambria" w:hAnsi="Cambria"/>
      <w:noProof/>
      <w:u w:val="single"/>
    </w:rPr>
  </w:style>
  <w:style w:type="character" w:styleId="CommentReference">
    <w:name w:val="annotation reference"/>
    <w:basedOn w:val="DefaultParagraphFont"/>
    <w:rsid w:val="001D3F1B"/>
    <w:rPr>
      <w:sz w:val="16"/>
      <w:szCs w:val="16"/>
    </w:rPr>
  </w:style>
  <w:style w:type="paragraph" w:styleId="CommentText">
    <w:name w:val="annotation text"/>
    <w:basedOn w:val="Normal"/>
    <w:link w:val="CommentTextChar"/>
    <w:rsid w:val="001D3F1B"/>
    <w:rPr>
      <w:sz w:val="20"/>
      <w:szCs w:val="20"/>
    </w:rPr>
  </w:style>
  <w:style w:type="character" w:customStyle="1" w:styleId="CommentTextChar">
    <w:name w:val="Comment Text Char"/>
    <w:basedOn w:val="DefaultParagraphFont"/>
    <w:link w:val="CommentText"/>
    <w:rsid w:val="001D3F1B"/>
    <w:rPr>
      <w:sz w:val="20"/>
      <w:szCs w:val="20"/>
    </w:rPr>
  </w:style>
  <w:style w:type="paragraph" w:styleId="CommentSubject">
    <w:name w:val="annotation subject"/>
    <w:basedOn w:val="CommentText"/>
    <w:next w:val="CommentText"/>
    <w:link w:val="CommentSubjectChar"/>
    <w:rsid w:val="001D3F1B"/>
    <w:rPr>
      <w:b/>
      <w:bCs/>
    </w:rPr>
  </w:style>
  <w:style w:type="character" w:customStyle="1" w:styleId="CommentSubjectChar">
    <w:name w:val="Comment Subject Char"/>
    <w:basedOn w:val="CommentTextChar"/>
    <w:link w:val="CommentSubject"/>
    <w:rsid w:val="001D3F1B"/>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toc 1" w:uiPriority="39"/>
    <w:lsdException w:name="toc 2" w:uiPriority="39"/>
    <w:lsdException w:name="HTML Cite" w:uiPriority="99"/>
    <w:lsdException w:name="List Paragraph" w:uiPriority="34" w:qFormat="1"/>
  </w:latentStyles>
  <w:style w:type="paragraph" w:default="1" w:styleId="Normal">
    <w:name w:val="Normal"/>
    <w:qFormat/>
  </w:style>
  <w:style w:type="paragraph" w:styleId="Heading1">
    <w:name w:val="heading 1"/>
    <w:basedOn w:val="Normal"/>
    <w:next w:val="Normal"/>
    <w:link w:val="Heading1Char"/>
    <w:uiPriority w:val="9"/>
    <w:qFormat/>
    <w:rsid w:val="00394EA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631EF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631EF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B508EF"/>
    <w:rPr>
      <w:rFonts w:ascii="Lucida Grande" w:hAnsi="Lucida Grande"/>
      <w:sz w:val="18"/>
      <w:szCs w:val="18"/>
    </w:rPr>
  </w:style>
  <w:style w:type="character" w:customStyle="1" w:styleId="BalloonTextChar">
    <w:name w:val="Balloon Text Char"/>
    <w:basedOn w:val="DefaultParagraphFont"/>
    <w:uiPriority w:val="99"/>
    <w:semiHidden/>
    <w:rsid w:val="00D56485"/>
    <w:rPr>
      <w:rFonts w:ascii="Lucida Grande" w:hAnsi="Lucida Grande"/>
      <w:sz w:val="18"/>
      <w:szCs w:val="18"/>
    </w:rPr>
  </w:style>
  <w:style w:type="character" w:customStyle="1" w:styleId="BalloonTextChar0">
    <w:name w:val="Balloon Text Char"/>
    <w:basedOn w:val="DefaultParagraphFont"/>
    <w:uiPriority w:val="99"/>
    <w:semiHidden/>
    <w:rsid w:val="00050360"/>
    <w:rPr>
      <w:rFonts w:ascii="Lucida Grande" w:hAnsi="Lucida Grande"/>
      <w:sz w:val="18"/>
      <w:szCs w:val="18"/>
    </w:rPr>
  </w:style>
  <w:style w:type="character" w:customStyle="1" w:styleId="BalloonTextChar2">
    <w:name w:val="Balloon Text Char"/>
    <w:basedOn w:val="DefaultParagraphFont"/>
    <w:uiPriority w:val="99"/>
    <w:semiHidden/>
    <w:rsid w:val="00C20B8A"/>
    <w:rPr>
      <w:rFonts w:ascii="Lucida Grande" w:hAnsi="Lucida Grande"/>
      <w:sz w:val="18"/>
      <w:szCs w:val="18"/>
    </w:rPr>
  </w:style>
  <w:style w:type="character" w:customStyle="1" w:styleId="BalloonTextChar3">
    <w:name w:val="Balloon Text Char"/>
    <w:basedOn w:val="DefaultParagraphFont"/>
    <w:uiPriority w:val="99"/>
    <w:semiHidden/>
    <w:rsid w:val="00C20B8A"/>
    <w:rPr>
      <w:rFonts w:ascii="Lucida Grande" w:hAnsi="Lucida Grande"/>
      <w:sz w:val="18"/>
      <w:szCs w:val="18"/>
    </w:rPr>
  </w:style>
  <w:style w:type="character" w:customStyle="1" w:styleId="BalloonTextChar4">
    <w:name w:val="Balloon Text Char"/>
    <w:basedOn w:val="DefaultParagraphFont"/>
    <w:uiPriority w:val="99"/>
    <w:semiHidden/>
    <w:rsid w:val="00596E36"/>
    <w:rPr>
      <w:rFonts w:ascii="Lucida Grande" w:hAnsi="Lucida Grande"/>
      <w:sz w:val="18"/>
      <w:szCs w:val="18"/>
    </w:rPr>
  </w:style>
  <w:style w:type="table" w:styleId="TableGrid">
    <w:name w:val="Table Grid"/>
    <w:basedOn w:val="TableNormal"/>
    <w:uiPriority w:val="59"/>
    <w:rsid w:val="00B508E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B508EF"/>
    <w:pPr>
      <w:ind w:left="720"/>
      <w:contextualSpacing/>
    </w:pPr>
  </w:style>
  <w:style w:type="character" w:styleId="Hyperlink">
    <w:name w:val="Hyperlink"/>
    <w:basedOn w:val="DefaultParagraphFont"/>
    <w:rsid w:val="00B508EF"/>
    <w:rPr>
      <w:color w:val="0000FF"/>
      <w:u w:val="single"/>
    </w:rPr>
  </w:style>
  <w:style w:type="character" w:styleId="HTMLCite">
    <w:name w:val="HTML Cite"/>
    <w:basedOn w:val="DefaultParagraphFont"/>
    <w:uiPriority w:val="99"/>
    <w:rsid w:val="00B508EF"/>
    <w:rPr>
      <w:i/>
    </w:rPr>
  </w:style>
  <w:style w:type="character" w:customStyle="1" w:styleId="BalloonTextChar1">
    <w:name w:val="Balloon Text Char1"/>
    <w:basedOn w:val="DefaultParagraphFont"/>
    <w:link w:val="BalloonText"/>
    <w:uiPriority w:val="99"/>
    <w:semiHidden/>
    <w:rsid w:val="00B508EF"/>
    <w:rPr>
      <w:rFonts w:ascii="Lucida Grande" w:hAnsi="Lucida Grande"/>
      <w:sz w:val="18"/>
      <w:szCs w:val="18"/>
    </w:rPr>
  </w:style>
  <w:style w:type="paragraph" w:styleId="Footer">
    <w:name w:val="footer"/>
    <w:basedOn w:val="Normal"/>
    <w:link w:val="FooterChar"/>
    <w:uiPriority w:val="99"/>
    <w:unhideWhenUsed/>
    <w:rsid w:val="004424D3"/>
    <w:pPr>
      <w:tabs>
        <w:tab w:val="center" w:pos="4320"/>
        <w:tab w:val="right" w:pos="8640"/>
      </w:tabs>
    </w:pPr>
  </w:style>
  <w:style w:type="character" w:customStyle="1" w:styleId="FooterChar">
    <w:name w:val="Footer Char"/>
    <w:basedOn w:val="DefaultParagraphFont"/>
    <w:link w:val="Footer"/>
    <w:uiPriority w:val="99"/>
    <w:rsid w:val="004424D3"/>
    <w:rPr>
      <w:sz w:val="24"/>
      <w:szCs w:val="24"/>
    </w:rPr>
  </w:style>
  <w:style w:type="character" w:styleId="PageNumber">
    <w:name w:val="page number"/>
    <w:basedOn w:val="DefaultParagraphFont"/>
    <w:uiPriority w:val="99"/>
    <w:semiHidden/>
    <w:unhideWhenUsed/>
    <w:rsid w:val="004424D3"/>
  </w:style>
  <w:style w:type="paragraph" w:styleId="Header">
    <w:name w:val="header"/>
    <w:basedOn w:val="Normal"/>
    <w:link w:val="HeaderChar"/>
    <w:uiPriority w:val="99"/>
    <w:unhideWhenUsed/>
    <w:rsid w:val="00394EA6"/>
    <w:pPr>
      <w:tabs>
        <w:tab w:val="center" w:pos="4320"/>
        <w:tab w:val="right" w:pos="8640"/>
      </w:tabs>
    </w:pPr>
  </w:style>
  <w:style w:type="character" w:customStyle="1" w:styleId="HeaderChar">
    <w:name w:val="Header Char"/>
    <w:basedOn w:val="DefaultParagraphFont"/>
    <w:link w:val="Header"/>
    <w:uiPriority w:val="99"/>
    <w:rsid w:val="00394EA6"/>
    <w:rPr>
      <w:sz w:val="24"/>
      <w:szCs w:val="24"/>
    </w:rPr>
  </w:style>
  <w:style w:type="character" w:customStyle="1" w:styleId="Heading1Char">
    <w:name w:val="Heading 1 Char"/>
    <w:basedOn w:val="DefaultParagraphFont"/>
    <w:link w:val="Heading1"/>
    <w:uiPriority w:val="9"/>
    <w:rsid w:val="00394EA6"/>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394EA6"/>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394EA6"/>
    <w:pPr>
      <w:spacing w:before="120"/>
    </w:pPr>
    <w:rPr>
      <w:rFonts w:asciiTheme="majorHAnsi" w:hAnsiTheme="majorHAnsi"/>
      <w:b/>
      <w:color w:val="548DD4"/>
    </w:rPr>
  </w:style>
  <w:style w:type="paragraph" w:styleId="TOC2">
    <w:name w:val="toc 2"/>
    <w:basedOn w:val="Normal"/>
    <w:next w:val="Normal"/>
    <w:autoRedefine/>
    <w:uiPriority w:val="39"/>
    <w:unhideWhenUsed/>
    <w:rsid w:val="008A0564"/>
  </w:style>
  <w:style w:type="paragraph" w:styleId="TOC3">
    <w:name w:val="toc 3"/>
    <w:basedOn w:val="Normal"/>
    <w:next w:val="Normal"/>
    <w:autoRedefine/>
    <w:uiPriority w:val="39"/>
    <w:semiHidden/>
    <w:unhideWhenUsed/>
    <w:rsid w:val="00394EA6"/>
    <w:pPr>
      <w:ind w:left="240"/>
    </w:pPr>
    <w:rPr>
      <w:i/>
      <w:sz w:val="22"/>
      <w:szCs w:val="22"/>
    </w:rPr>
  </w:style>
  <w:style w:type="paragraph" w:styleId="TOC4">
    <w:name w:val="toc 4"/>
    <w:basedOn w:val="Normal"/>
    <w:next w:val="Normal"/>
    <w:autoRedefine/>
    <w:uiPriority w:val="39"/>
    <w:semiHidden/>
    <w:unhideWhenUsed/>
    <w:rsid w:val="00394EA6"/>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394EA6"/>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394EA6"/>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394EA6"/>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394EA6"/>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394EA6"/>
    <w:pPr>
      <w:pBdr>
        <w:between w:val="double" w:sz="6" w:space="0" w:color="auto"/>
      </w:pBdr>
      <w:ind w:left="1680"/>
    </w:pPr>
    <w:rPr>
      <w:sz w:val="20"/>
      <w:szCs w:val="20"/>
    </w:rPr>
  </w:style>
  <w:style w:type="character" w:customStyle="1" w:styleId="Heading2Char">
    <w:name w:val="Heading 2 Char"/>
    <w:basedOn w:val="DefaultParagraphFont"/>
    <w:link w:val="Heading2"/>
    <w:rsid w:val="00631EF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631EFD"/>
    <w:rPr>
      <w:rFonts w:asciiTheme="majorHAnsi" w:eastAsiaTheme="majorEastAsia" w:hAnsiTheme="majorHAnsi" w:cstheme="majorBidi"/>
      <w:b/>
      <w:bCs/>
      <w:color w:val="4F81BD" w:themeColor="accent1"/>
      <w:sz w:val="24"/>
      <w:szCs w:val="24"/>
    </w:rPr>
  </w:style>
  <w:style w:type="paragraph" w:styleId="FootnoteText">
    <w:name w:val="footnote text"/>
    <w:basedOn w:val="Normal"/>
    <w:link w:val="FootnoteTextChar"/>
    <w:unhideWhenUsed/>
    <w:rsid w:val="00625946"/>
    <w:rPr>
      <w:rFonts w:ascii="Cambria" w:eastAsia="Cambria" w:hAnsi="Cambria" w:cs="Times New Roman"/>
    </w:rPr>
  </w:style>
  <w:style w:type="character" w:customStyle="1" w:styleId="FootnoteTextChar">
    <w:name w:val="Footnote Text Char"/>
    <w:basedOn w:val="DefaultParagraphFont"/>
    <w:link w:val="FootnoteText"/>
    <w:rsid w:val="00625946"/>
    <w:rPr>
      <w:rFonts w:ascii="Cambria" w:eastAsia="Cambria" w:hAnsi="Cambria" w:cs="Times New Roman"/>
      <w:sz w:val="24"/>
      <w:szCs w:val="24"/>
    </w:rPr>
  </w:style>
  <w:style w:type="character" w:styleId="FootnoteReference">
    <w:name w:val="footnote reference"/>
    <w:basedOn w:val="DefaultParagraphFont"/>
    <w:unhideWhenUsed/>
    <w:rsid w:val="00625946"/>
    <w:rPr>
      <w:vertAlign w:val="superscript"/>
    </w:rPr>
  </w:style>
  <w:style w:type="paragraph" w:styleId="NormalWeb">
    <w:name w:val="Normal (Web)"/>
    <w:basedOn w:val="Normal"/>
    <w:uiPriority w:val="99"/>
    <w:rsid w:val="00F92F63"/>
    <w:pPr>
      <w:spacing w:beforeLines="1" w:afterLines="1"/>
    </w:pPr>
    <w:rPr>
      <w:rFonts w:ascii="Times" w:hAnsi="Times" w:cs="Times New Roman"/>
      <w:sz w:val="20"/>
      <w:szCs w:val="20"/>
    </w:rPr>
  </w:style>
  <w:style w:type="character" w:customStyle="1" w:styleId="CharChar1">
    <w:name w:val="Char Char1"/>
    <w:basedOn w:val="DefaultParagraphFont"/>
    <w:semiHidden/>
    <w:rsid w:val="00F16268"/>
    <w:rPr>
      <w:lang w:val="en-US" w:eastAsia="en-US" w:bidi="ar-SA"/>
    </w:rPr>
  </w:style>
  <w:style w:type="paragraph" w:customStyle="1" w:styleId="heading">
    <w:name w:val="heading"/>
    <w:basedOn w:val="TOC1"/>
    <w:rsid w:val="00294CEB"/>
    <w:rPr>
      <w:rFonts w:ascii="Cambria" w:hAnsi="Cambria"/>
      <w:noProof/>
      <w:u w:val="single"/>
    </w:rPr>
  </w:style>
  <w:style w:type="character" w:styleId="CommentReference">
    <w:name w:val="annotation reference"/>
    <w:basedOn w:val="DefaultParagraphFont"/>
    <w:rsid w:val="001D3F1B"/>
    <w:rPr>
      <w:sz w:val="16"/>
      <w:szCs w:val="16"/>
    </w:rPr>
  </w:style>
  <w:style w:type="paragraph" w:styleId="CommentText">
    <w:name w:val="annotation text"/>
    <w:basedOn w:val="Normal"/>
    <w:link w:val="CommentTextChar"/>
    <w:rsid w:val="001D3F1B"/>
    <w:rPr>
      <w:sz w:val="20"/>
      <w:szCs w:val="20"/>
    </w:rPr>
  </w:style>
  <w:style w:type="character" w:customStyle="1" w:styleId="CommentTextChar">
    <w:name w:val="Comment Text Char"/>
    <w:basedOn w:val="DefaultParagraphFont"/>
    <w:link w:val="CommentText"/>
    <w:rsid w:val="001D3F1B"/>
    <w:rPr>
      <w:sz w:val="20"/>
      <w:szCs w:val="20"/>
    </w:rPr>
  </w:style>
  <w:style w:type="paragraph" w:styleId="CommentSubject">
    <w:name w:val="annotation subject"/>
    <w:basedOn w:val="CommentText"/>
    <w:next w:val="CommentText"/>
    <w:link w:val="CommentSubjectChar"/>
    <w:rsid w:val="001D3F1B"/>
    <w:rPr>
      <w:b/>
      <w:bCs/>
    </w:rPr>
  </w:style>
  <w:style w:type="character" w:customStyle="1" w:styleId="CommentSubjectChar">
    <w:name w:val="Comment Subject Char"/>
    <w:basedOn w:val="CommentTextChar"/>
    <w:link w:val="CommentSubject"/>
    <w:rsid w:val="001D3F1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35060">
      <w:bodyDiv w:val="1"/>
      <w:marLeft w:val="0"/>
      <w:marRight w:val="0"/>
      <w:marTop w:val="0"/>
      <w:marBottom w:val="0"/>
      <w:divBdr>
        <w:top w:val="none" w:sz="0" w:space="0" w:color="auto"/>
        <w:left w:val="none" w:sz="0" w:space="0" w:color="auto"/>
        <w:bottom w:val="none" w:sz="0" w:space="0" w:color="auto"/>
        <w:right w:val="none" w:sz="0" w:space="0" w:color="auto"/>
      </w:divBdr>
    </w:div>
    <w:div w:id="120732030">
      <w:bodyDiv w:val="1"/>
      <w:marLeft w:val="0"/>
      <w:marRight w:val="0"/>
      <w:marTop w:val="0"/>
      <w:marBottom w:val="0"/>
      <w:divBdr>
        <w:top w:val="none" w:sz="0" w:space="0" w:color="auto"/>
        <w:left w:val="none" w:sz="0" w:space="0" w:color="auto"/>
        <w:bottom w:val="none" w:sz="0" w:space="0" w:color="auto"/>
        <w:right w:val="none" w:sz="0" w:space="0" w:color="auto"/>
      </w:divBdr>
      <w:divsChild>
        <w:div w:id="1906573434">
          <w:marLeft w:val="605"/>
          <w:marRight w:val="0"/>
          <w:marTop w:val="140"/>
          <w:marBottom w:val="0"/>
          <w:divBdr>
            <w:top w:val="none" w:sz="0" w:space="0" w:color="auto"/>
            <w:left w:val="none" w:sz="0" w:space="0" w:color="auto"/>
            <w:bottom w:val="none" w:sz="0" w:space="0" w:color="auto"/>
            <w:right w:val="none" w:sz="0" w:space="0" w:color="auto"/>
          </w:divBdr>
        </w:div>
        <w:div w:id="308749586">
          <w:marLeft w:val="605"/>
          <w:marRight w:val="0"/>
          <w:marTop w:val="140"/>
          <w:marBottom w:val="0"/>
          <w:divBdr>
            <w:top w:val="none" w:sz="0" w:space="0" w:color="auto"/>
            <w:left w:val="none" w:sz="0" w:space="0" w:color="auto"/>
            <w:bottom w:val="none" w:sz="0" w:space="0" w:color="auto"/>
            <w:right w:val="none" w:sz="0" w:space="0" w:color="auto"/>
          </w:divBdr>
        </w:div>
        <w:div w:id="694228655">
          <w:marLeft w:val="605"/>
          <w:marRight w:val="0"/>
          <w:marTop w:val="140"/>
          <w:marBottom w:val="0"/>
          <w:divBdr>
            <w:top w:val="none" w:sz="0" w:space="0" w:color="auto"/>
            <w:left w:val="none" w:sz="0" w:space="0" w:color="auto"/>
            <w:bottom w:val="none" w:sz="0" w:space="0" w:color="auto"/>
            <w:right w:val="none" w:sz="0" w:space="0" w:color="auto"/>
          </w:divBdr>
        </w:div>
        <w:div w:id="1277251429">
          <w:marLeft w:val="605"/>
          <w:marRight w:val="0"/>
          <w:marTop w:val="140"/>
          <w:marBottom w:val="0"/>
          <w:divBdr>
            <w:top w:val="none" w:sz="0" w:space="0" w:color="auto"/>
            <w:left w:val="none" w:sz="0" w:space="0" w:color="auto"/>
            <w:bottom w:val="none" w:sz="0" w:space="0" w:color="auto"/>
            <w:right w:val="none" w:sz="0" w:space="0" w:color="auto"/>
          </w:divBdr>
        </w:div>
      </w:divsChild>
    </w:div>
    <w:div w:id="188490393">
      <w:bodyDiv w:val="1"/>
      <w:marLeft w:val="0"/>
      <w:marRight w:val="0"/>
      <w:marTop w:val="0"/>
      <w:marBottom w:val="0"/>
      <w:divBdr>
        <w:top w:val="none" w:sz="0" w:space="0" w:color="auto"/>
        <w:left w:val="none" w:sz="0" w:space="0" w:color="auto"/>
        <w:bottom w:val="none" w:sz="0" w:space="0" w:color="auto"/>
        <w:right w:val="none" w:sz="0" w:space="0" w:color="auto"/>
      </w:divBdr>
    </w:div>
    <w:div w:id="434134985">
      <w:bodyDiv w:val="1"/>
      <w:marLeft w:val="0"/>
      <w:marRight w:val="0"/>
      <w:marTop w:val="0"/>
      <w:marBottom w:val="0"/>
      <w:divBdr>
        <w:top w:val="none" w:sz="0" w:space="0" w:color="auto"/>
        <w:left w:val="none" w:sz="0" w:space="0" w:color="auto"/>
        <w:bottom w:val="none" w:sz="0" w:space="0" w:color="auto"/>
        <w:right w:val="none" w:sz="0" w:space="0" w:color="auto"/>
      </w:divBdr>
      <w:divsChild>
        <w:div w:id="825125141">
          <w:marLeft w:val="1152"/>
          <w:marRight w:val="0"/>
          <w:marTop w:val="0"/>
          <w:marBottom w:val="0"/>
          <w:divBdr>
            <w:top w:val="none" w:sz="0" w:space="0" w:color="auto"/>
            <w:left w:val="none" w:sz="0" w:space="0" w:color="auto"/>
            <w:bottom w:val="none" w:sz="0" w:space="0" w:color="auto"/>
            <w:right w:val="none" w:sz="0" w:space="0" w:color="auto"/>
          </w:divBdr>
        </w:div>
        <w:div w:id="2139299170">
          <w:marLeft w:val="1786"/>
          <w:marRight w:val="0"/>
          <w:marTop w:val="0"/>
          <w:marBottom w:val="0"/>
          <w:divBdr>
            <w:top w:val="none" w:sz="0" w:space="0" w:color="auto"/>
            <w:left w:val="none" w:sz="0" w:space="0" w:color="auto"/>
            <w:bottom w:val="none" w:sz="0" w:space="0" w:color="auto"/>
            <w:right w:val="none" w:sz="0" w:space="0" w:color="auto"/>
          </w:divBdr>
        </w:div>
        <w:div w:id="1131896731">
          <w:marLeft w:val="1786"/>
          <w:marRight w:val="0"/>
          <w:marTop w:val="0"/>
          <w:marBottom w:val="0"/>
          <w:divBdr>
            <w:top w:val="none" w:sz="0" w:space="0" w:color="auto"/>
            <w:left w:val="none" w:sz="0" w:space="0" w:color="auto"/>
            <w:bottom w:val="none" w:sz="0" w:space="0" w:color="auto"/>
            <w:right w:val="none" w:sz="0" w:space="0" w:color="auto"/>
          </w:divBdr>
        </w:div>
        <w:div w:id="1831865579">
          <w:marLeft w:val="1152"/>
          <w:marRight w:val="0"/>
          <w:marTop w:val="0"/>
          <w:marBottom w:val="0"/>
          <w:divBdr>
            <w:top w:val="none" w:sz="0" w:space="0" w:color="auto"/>
            <w:left w:val="none" w:sz="0" w:space="0" w:color="auto"/>
            <w:bottom w:val="none" w:sz="0" w:space="0" w:color="auto"/>
            <w:right w:val="none" w:sz="0" w:space="0" w:color="auto"/>
          </w:divBdr>
        </w:div>
        <w:div w:id="831455773">
          <w:marLeft w:val="1786"/>
          <w:marRight w:val="0"/>
          <w:marTop w:val="0"/>
          <w:marBottom w:val="0"/>
          <w:divBdr>
            <w:top w:val="none" w:sz="0" w:space="0" w:color="auto"/>
            <w:left w:val="none" w:sz="0" w:space="0" w:color="auto"/>
            <w:bottom w:val="none" w:sz="0" w:space="0" w:color="auto"/>
            <w:right w:val="none" w:sz="0" w:space="0" w:color="auto"/>
          </w:divBdr>
        </w:div>
        <w:div w:id="542064290">
          <w:marLeft w:val="1786"/>
          <w:marRight w:val="0"/>
          <w:marTop w:val="0"/>
          <w:marBottom w:val="0"/>
          <w:divBdr>
            <w:top w:val="none" w:sz="0" w:space="0" w:color="auto"/>
            <w:left w:val="none" w:sz="0" w:space="0" w:color="auto"/>
            <w:bottom w:val="none" w:sz="0" w:space="0" w:color="auto"/>
            <w:right w:val="none" w:sz="0" w:space="0" w:color="auto"/>
          </w:divBdr>
        </w:div>
        <w:div w:id="1744181426">
          <w:marLeft w:val="1152"/>
          <w:marRight w:val="0"/>
          <w:marTop w:val="0"/>
          <w:marBottom w:val="0"/>
          <w:divBdr>
            <w:top w:val="none" w:sz="0" w:space="0" w:color="auto"/>
            <w:left w:val="none" w:sz="0" w:space="0" w:color="auto"/>
            <w:bottom w:val="none" w:sz="0" w:space="0" w:color="auto"/>
            <w:right w:val="none" w:sz="0" w:space="0" w:color="auto"/>
          </w:divBdr>
        </w:div>
        <w:div w:id="1789347982">
          <w:marLeft w:val="1786"/>
          <w:marRight w:val="0"/>
          <w:marTop w:val="0"/>
          <w:marBottom w:val="0"/>
          <w:divBdr>
            <w:top w:val="none" w:sz="0" w:space="0" w:color="auto"/>
            <w:left w:val="none" w:sz="0" w:space="0" w:color="auto"/>
            <w:bottom w:val="none" w:sz="0" w:space="0" w:color="auto"/>
            <w:right w:val="none" w:sz="0" w:space="0" w:color="auto"/>
          </w:divBdr>
        </w:div>
      </w:divsChild>
    </w:div>
    <w:div w:id="489834384">
      <w:bodyDiv w:val="1"/>
      <w:marLeft w:val="0"/>
      <w:marRight w:val="0"/>
      <w:marTop w:val="0"/>
      <w:marBottom w:val="0"/>
      <w:divBdr>
        <w:top w:val="none" w:sz="0" w:space="0" w:color="auto"/>
        <w:left w:val="none" w:sz="0" w:space="0" w:color="auto"/>
        <w:bottom w:val="none" w:sz="0" w:space="0" w:color="auto"/>
        <w:right w:val="none" w:sz="0" w:space="0" w:color="auto"/>
      </w:divBdr>
      <w:divsChild>
        <w:div w:id="126625353">
          <w:marLeft w:val="547"/>
          <w:marRight w:val="0"/>
          <w:marTop w:val="0"/>
          <w:marBottom w:val="0"/>
          <w:divBdr>
            <w:top w:val="none" w:sz="0" w:space="0" w:color="auto"/>
            <w:left w:val="none" w:sz="0" w:space="0" w:color="auto"/>
            <w:bottom w:val="none" w:sz="0" w:space="0" w:color="auto"/>
            <w:right w:val="none" w:sz="0" w:space="0" w:color="auto"/>
          </w:divBdr>
        </w:div>
        <w:div w:id="1265070337">
          <w:marLeft w:val="547"/>
          <w:marRight w:val="0"/>
          <w:marTop w:val="0"/>
          <w:marBottom w:val="0"/>
          <w:divBdr>
            <w:top w:val="none" w:sz="0" w:space="0" w:color="auto"/>
            <w:left w:val="none" w:sz="0" w:space="0" w:color="auto"/>
            <w:bottom w:val="none" w:sz="0" w:space="0" w:color="auto"/>
            <w:right w:val="none" w:sz="0" w:space="0" w:color="auto"/>
          </w:divBdr>
        </w:div>
        <w:div w:id="1569152456">
          <w:marLeft w:val="547"/>
          <w:marRight w:val="0"/>
          <w:marTop w:val="0"/>
          <w:marBottom w:val="0"/>
          <w:divBdr>
            <w:top w:val="none" w:sz="0" w:space="0" w:color="auto"/>
            <w:left w:val="none" w:sz="0" w:space="0" w:color="auto"/>
            <w:bottom w:val="none" w:sz="0" w:space="0" w:color="auto"/>
            <w:right w:val="none" w:sz="0" w:space="0" w:color="auto"/>
          </w:divBdr>
        </w:div>
        <w:div w:id="1582517922">
          <w:marLeft w:val="547"/>
          <w:marRight w:val="0"/>
          <w:marTop w:val="0"/>
          <w:marBottom w:val="0"/>
          <w:divBdr>
            <w:top w:val="none" w:sz="0" w:space="0" w:color="auto"/>
            <w:left w:val="none" w:sz="0" w:space="0" w:color="auto"/>
            <w:bottom w:val="none" w:sz="0" w:space="0" w:color="auto"/>
            <w:right w:val="none" w:sz="0" w:space="0" w:color="auto"/>
          </w:divBdr>
        </w:div>
        <w:div w:id="1164202714">
          <w:marLeft w:val="547"/>
          <w:marRight w:val="0"/>
          <w:marTop w:val="0"/>
          <w:marBottom w:val="0"/>
          <w:divBdr>
            <w:top w:val="none" w:sz="0" w:space="0" w:color="auto"/>
            <w:left w:val="none" w:sz="0" w:space="0" w:color="auto"/>
            <w:bottom w:val="none" w:sz="0" w:space="0" w:color="auto"/>
            <w:right w:val="none" w:sz="0" w:space="0" w:color="auto"/>
          </w:divBdr>
        </w:div>
        <w:div w:id="410976599">
          <w:marLeft w:val="547"/>
          <w:marRight w:val="0"/>
          <w:marTop w:val="0"/>
          <w:marBottom w:val="0"/>
          <w:divBdr>
            <w:top w:val="none" w:sz="0" w:space="0" w:color="auto"/>
            <w:left w:val="none" w:sz="0" w:space="0" w:color="auto"/>
            <w:bottom w:val="none" w:sz="0" w:space="0" w:color="auto"/>
            <w:right w:val="none" w:sz="0" w:space="0" w:color="auto"/>
          </w:divBdr>
        </w:div>
        <w:div w:id="1994527400">
          <w:marLeft w:val="547"/>
          <w:marRight w:val="0"/>
          <w:marTop w:val="0"/>
          <w:marBottom w:val="0"/>
          <w:divBdr>
            <w:top w:val="none" w:sz="0" w:space="0" w:color="auto"/>
            <w:left w:val="none" w:sz="0" w:space="0" w:color="auto"/>
            <w:bottom w:val="none" w:sz="0" w:space="0" w:color="auto"/>
            <w:right w:val="none" w:sz="0" w:space="0" w:color="auto"/>
          </w:divBdr>
        </w:div>
        <w:div w:id="1445154061">
          <w:marLeft w:val="547"/>
          <w:marRight w:val="0"/>
          <w:marTop w:val="0"/>
          <w:marBottom w:val="0"/>
          <w:divBdr>
            <w:top w:val="none" w:sz="0" w:space="0" w:color="auto"/>
            <w:left w:val="none" w:sz="0" w:space="0" w:color="auto"/>
            <w:bottom w:val="none" w:sz="0" w:space="0" w:color="auto"/>
            <w:right w:val="none" w:sz="0" w:space="0" w:color="auto"/>
          </w:divBdr>
        </w:div>
        <w:div w:id="37973581">
          <w:marLeft w:val="547"/>
          <w:marRight w:val="0"/>
          <w:marTop w:val="0"/>
          <w:marBottom w:val="0"/>
          <w:divBdr>
            <w:top w:val="none" w:sz="0" w:space="0" w:color="auto"/>
            <w:left w:val="none" w:sz="0" w:space="0" w:color="auto"/>
            <w:bottom w:val="none" w:sz="0" w:space="0" w:color="auto"/>
            <w:right w:val="none" w:sz="0" w:space="0" w:color="auto"/>
          </w:divBdr>
        </w:div>
        <w:div w:id="753598623">
          <w:marLeft w:val="547"/>
          <w:marRight w:val="0"/>
          <w:marTop w:val="0"/>
          <w:marBottom w:val="0"/>
          <w:divBdr>
            <w:top w:val="none" w:sz="0" w:space="0" w:color="auto"/>
            <w:left w:val="none" w:sz="0" w:space="0" w:color="auto"/>
            <w:bottom w:val="none" w:sz="0" w:space="0" w:color="auto"/>
            <w:right w:val="none" w:sz="0" w:space="0" w:color="auto"/>
          </w:divBdr>
        </w:div>
        <w:div w:id="1479222755">
          <w:marLeft w:val="547"/>
          <w:marRight w:val="0"/>
          <w:marTop w:val="0"/>
          <w:marBottom w:val="0"/>
          <w:divBdr>
            <w:top w:val="none" w:sz="0" w:space="0" w:color="auto"/>
            <w:left w:val="none" w:sz="0" w:space="0" w:color="auto"/>
            <w:bottom w:val="none" w:sz="0" w:space="0" w:color="auto"/>
            <w:right w:val="none" w:sz="0" w:space="0" w:color="auto"/>
          </w:divBdr>
        </w:div>
        <w:div w:id="1998726283">
          <w:marLeft w:val="547"/>
          <w:marRight w:val="0"/>
          <w:marTop w:val="0"/>
          <w:marBottom w:val="0"/>
          <w:divBdr>
            <w:top w:val="none" w:sz="0" w:space="0" w:color="auto"/>
            <w:left w:val="none" w:sz="0" w:space="0" w:color="auto"/>
            <w:bottom w:val="none" w:sz="0" w:space="0" w:color="auto"/>
            <w:right w:val="none" w:sz="0" w:space="0" w:color="auto"/>
          </w:divBdr>
        </w:div>
        <w:div w:id="23867993">
          <w:marLeft w:val="547"/>
          <w:marRight w:val="0"/>
          <w:marTop w:val="0"/>
          <w:marBottom w:val="0"/>
          <w:divBdr>
            <w:top w:val="none" w:sz="0" w:space="0" w:color="auto"/>
            <w:left w:val="none" w:sz="0" w:space="0" w:color="auto"/>
            <w:bottom w:val="none" w:sz="0" w:space="0" w:color="auto"/>
            <w:right w:val="none" w:sz="0" w:space="0" w:color="auto"/>
          </w:divBdr>
        </w:div>
        <w:div w:id="495808587">
          <w:marLeft w:val="547"/>
          <w:marRight w:val="0"/>
          <w:marTop w:val="0"/>
          <w:marBottom w:val="0"/>
          <w:divBdr>
            <w:top w:val="none" w:sz="0" w:space="0" w:color="auto"/>
            <w:left w:val="none" w:sz="0" w:space="0" w:color="auto"/>
            <w:bottom w:val="none" w:sz="0" w:space="0" w:color="auto"/>
            <w:right w:val="none" w:sz="0" w:space="0" w:color="auto"/>
          </w:divBdr>
        </w:div>
      </w:divsChild>
    </w:div>
    <w:div w:id="571280573">
      <w:bodyDiv w:val="1"/>
      <w:marLeft w:val="0"/>
      <w:marRight w:val="0"/>
      <w:marTop w:val="0"/>
      <w:marBottom w:val="0"/>
      <w:divBdr>
        <w:top w:val="none" w:sz="0" w:space="0" w:color="auto"/>
        <w:left w:val="none" w:sz="0" w:space="0" w:color="auto"/>
        <w:bottom w:val="none" w:sz="0" w:space="0" w:color="auto"/>
        <w:right w:val="none" w:sz="0" w:space="0" w:color="auto"/>
      </w:divBdr>
      <w:divsChild>
        <w:div w:id="1717778164">
          <w:marLeft w:val="605"/>
          <w:marRight w:val="0"/>
          <w:marTop w:val="0"/>
          <w:marBottom w:val="0"/>
          <w:divBdr>
            <w:top w:val="none" w:sz="0" w:space="0" w:color="auto"/>
            <w:left w:val="none" w:sz="0" w:space="0" w:color="auto"/>
            <w:bottom w:val="none" w:sz="0" w:space="0" w:color="auto"/>
            <w:right w:val="none" w:sz="0" w:space="0" w:color="auto"/>
          </w:divBdr>
        </w:div>
        <w:div w:id="1482650619">
          <w:marLeft w:val="605"/>
          <w:marRight w:val="0"/>
          <w:marTop w:val="0"/>
          <w:marBottom w:val="0"/>
          <w:divBdr>
            <w:top w:val="none" w:sz="0" w:space="0" w:color="auto"/>
            <w:left w:val="none" w:sz="0" w:space="0" w:color="auto"/>
            <w:bottom w:val="none" w:sz="0" w:space="0" w:color="auto"/>
            <w:right w:val="none" w:sz="0" w:space="0" w:color="auto"/>
          </w:divBdr>
        </w:div>
        <w:div w:id="346903382">
          <w:marLeft w:val="605"/>
          <w:marRight w:val="0"/>
          <w:marTop w:val="0"/>
          <w:marBottom w:val="0"/>
          <w:divBdr>
            <w:top w:val="none" w:sz="0" w:space="0" w:color="auto"/>
            <w:left w:val="none" w:sz="0" w:space="0" w:color="auto"/>
            <w:bottom w:val="none" w:sz="0" w:space="0" w:color="auto"/>
            <w:right w:val="none" w:sz="0" w:space="0" w:color="auto"/>
          </w:divBdr>
        </w:div>
      </w:divsChild>
    </w:div>
    <w:div w:id="718283192">
      <w:bodyDiv w:val="1"/>
      <w:marLeft w:val="0"/>
      <w:marRight w:val="0"/>
      <w:marTop w:val="0"/>
      <w:marBottom w:val="0"/>
      <w:divBdr>
        <w:top w:val="none" w:sz="0" w:space="0" w:color="auto"/>
        <w:left w:val="none" w:sz="0" w:space="0" w:color="auto"/>
        <w:bottom w:val="none" w:sz="0" w:space="0" w:color="auto"/>
        <w:right w:val="none" w:sz="0" w:space="0" w:color="auto"/>
      </w:divBdr>
      <w:divsChild>
        <w:div w:id="2071421695">
          <w:marLeft w:val="605"/>
          <w:marRight w:val="0"/>
          <w:marTop w:val="0"/>
          <w:marBottom w:val="0"/>
          <w:divBdr>
            <w:top w:val="none" w:sz="0" w:space="0" w:color="auto"/>
            <w:left w:val="none" w:sz="0" w:space="0" w:color="auto"/>
            <w:bottom w:val="none" w:sz="0" w:space="0" w:color="auto"/>
            <w:right w:val="none" w:sz="0" w:space="0" w:color="auto"/>
          </w:divBdr>
        </w:div>
        <w:div w:id="1840847128">
          <w:marLeft w:val="1238"/>
          <w:marRight w:val="0"/>
          <w:marTop w:val="0"/>
          <w:marBottom w:val="0"/>
          <w:divBdr>
            <w:top w:val="none" w:sz="0" w:space="0" w:color="auto"/>
            <w:left w:val="none" w:sz="0" w:space="0" w:color="auto"/>
            <w:bottom w:val="none" w:sz="0" w:space="0" w:color="auto"/>
            <w:right w:val="none" w:sz="0" w:space="0" w:color="auto"/>
          </w:divBdr>
        </w:div>
        <w:div w:id="993724156">
          <w:marLeft w:val="1238"/>
          <w:marRight w:val="0"/>
          <w:marTop w:val="0"/>
          <w:marBottom w:val="0"/>
          <w:divBdr>
            <w:top w:val="none" w:sz="0" w:space="0" w:color="auto"/>
            <w:left w:val="none" w:sz="0" w:space="0" w:color="auto"/>
            <w:bottom w:val="none" w:sz="0" w:space="0" w:color="auto"/>
            <w:right w:val="none" w:sz="0" w:space="0" w:color="auto"/>
          </w:divBdr>
        </w:div>
        <w:div w:id="1860385952">
          <w:marLeft w:val="605"/>
          <w:marRight w:val="0"/>
          <w:marTop w:val="0"/>
          <w:marBottom w:val="0"/>
          <w:divBdr>
            <w:top w:val="none" w:sz="0" w:space="0" w:color="auto"/>
            <w:left w:val="none" w:sz="0" w:space="0" w:color="auto"/>
            <w:bottom w:val="none" w:sz="0" w:space="0" w:color="auto"/>
            <w:right w:val="none" w:sz="0" w:space="0" w:color="auto"/>
          </w:divBdr>
        </w:div>
        <w:div w:id="1323776738">
          <w:marLeft w:val="1238"/>
          <w:marRight w:val="0"/>
          <w:marTop w:val="0"/>
          <w:marBottom w:val="0"/>
          <w:divBdr>
            <w:top w:val="none" w:sz="0" w:space="0" w:color="auto"/>
            <w:left w:val="none" w:sz="0" w:space="0" w:color="auto"/>
            <w:bottom w:val="none" w:sz="0" w:space="0" w:color="auto"/>
            <w:right w:val="none" w:sz="0" w:space="0" w:color="auto"/>
          </w:divBdr>
        </w:div>
        <w:div w:id="407964134">
          <w:marLeft w:val="1858"/>
          <w:marRight w:val="0"/>
          <w:marTop w:val="0"/>
          <w:marBottom w:val="0"/>
          <w:divBdr>
            <w:top w:val="none" w:sz="0" w:space="0" w:color="auto"/>
            <w:left w:val="none" w:sz="0" w:space="0" w:color="auto"/>
            <w:bottom w:val="none" w:sz="0" w:space="0" w:color="auto"/>
            <w:right w:val="none" w:sz="0" w:space="0" w:color="auto"/>
          </w:divBdr>
        </w:div>
        <w:div w:id="1073891925">
          <w:marLeft w:val="1858"/>
          <w:marRight w:val="0"/>
          <w:marTop w:val="0"/>
          <w:marBottom w:val="0"/>
          <w:divBdr>
            <w:top w:val="none" w:sz="0" w:space="0" w:color="auto"/>
            <w:left w:val="none" w:sz="0" w:space="0" w:color="auto"/>
            <w:bottom w:val="none" w:sz="0" w:space="0" w:color="auto"/>
            <w:right w:val="none" w:sz="0" w:space="0" w:color="auto"/>
          </w:divBdr>
        </w:div>
        <w:div w:id="840579892">
          <w:marLeft w:val="1858"/>
          <w:marRight w:val="0"/>
          <w:marTop w:val="0"/>
          <w:marBottom w:val="0"/>
          <w:divBdr>
            <w:top w:val="none" w:sz="0" w:space="0" w:color="auto"/>
            <w:left w:val="none" w:sz="0" w:space="0" w:color="auto"/>
            <w:bottom w:val="none" w:sz="0" w:space="0" w:color="auto"/>
            <w:right w:val="none" w:sz="0" w:space="0" w:color="auto"/>
          </w:divBdr>
        </w:div>
        <w:div w:id="1107040436">
          <w:marLeft w:val="1858"/>
          <w:marRight w:val="0"/>
          <w:marTop w:val="0"/>
          <w:marBottom w:val="0"/>
          <w:divBdr>
            <w:top w:val="none" w:sz="0" w:space="0" w:color="auto"/>
            <w:left w:val="none" w:sz="0" w:space="0" w:color="auto"/>
            <w:bottom w:val="none" w:sz="0" w:space="0" w:color="auto"/>
            <w:right w:val="none" w:sz="0" w:space="0" w:color="auto"/>
          </w:divBdr>
        </w:div>
        <w:div w:id="1320157382">
          <w:marLeft w:val="1858"/>
          <w:marRight w:val="0"/>
          <w:marTop w:val="0"/>
          <w:marBottom w:val="0"/>
          <w:divBdr>
            <w:top w:val="none" w:sz="0" w:space="0" w:color="auto"/>
            <w:left w:val="none" w:sz="0" w:space="0" w:color="auto"/>
            <w:bottom w:val="none" w:sz="0" w:space="0" w:color="auto"/>
            <w:right w:val="none" w:sz="0" w:space="0" w:color="auto"/>
          </w:divBdr>
        </w:div>
      </w:divsChild>
    </w:div>
    <w:div w:id="749037493">
      <w:bodyDiv w:val="1"/>
      <w:marLeft w:val="0"/>
      <w:marRight w:val="0"/>
      <w:marTop w:val="0"/>
      <w:marBottom w:val="0"/>
      <w:divBdr>
        <w:top w:val="none" w:sz="0" w:space="0" w:color="auto"/>
        <w:left w:val="none" w:sz="0" w:space="0" w:color="auto"/>
        <w:bottom w:val="none" w:sz="0" w:space="0" w:color="auto"/>
        <w:right w:val="none" w:sz="0" w:space="0" w:color="auto"/>
      </w:divBdr>
    </w:div>
    <w:div w:id="833227965">
      <w:bodyDiv w:val="1"/>
      <w:marLeft w:val="0"/>
      <w:marRight w:val="0"/>
      <w:marTop w:val="0"/>
      <w:marBottom w:val="0"/>
      <w:divBdr>
        <w:top w:val="none" w:sz="0" w:space="0" w:color="auto"/>
        <w:left w:val="none" w:sz="0" w:space="0" w:color="auto"/>
        <w:bottom w:val="none" w:sz="0" w:space="0" w:color="auto"/>
        <w:right w:val="none" w:sz="0" w:space="0" w:color="auto"/>
      </w:divBdr>
    </w:div>
    <w:div w:id="902641558">
      <w:bodyDiv w:val="1"/>
      <w:marLeft w:val="0"/>
      <w:marRight w:val="0"/>
      <w:marTop w:val="0"/>
      <w:marBottom w:val="0"/>
      <w:divBdr>
        <w:top w:val="none" w:sz="0" w:space="0" w:color="auto"/>
        <w:left w:val="none" w:sz="0" w:space="0" w:color="auto"/>
        <w:bottom w:val="none" w:sz="0" w:space="0" w:color="auto"/>
        <w:right w:val="none" w:sz="0" w:space="0" w:color="auto"/>
      </w:divBdr>
    </w:div>
    <w:div w:id="1117794595">
      <w:bodyDiv w:val="1"/>
      <w:marLeft w:val="0"/>
      <w:marRight w:val="0"/>
      <w:marTop w:val="0"/>
      <w:marBottom w:val="0"/>
      <w:divBdr>
        <w:top w:val="none" w:sz="0" w:space="0" w:color="auto"/>
        <w:left w:val="none" w:sz="0" w:space="0" w:color="auto"/>
        <w:bottom w:val="none" w:sz="0" w:space="0" w:color="auto"/>
        <w:right w:val="none" w:sz="0" w:space="0" w:color="auto"/>
      </w:divBdr>
    </w:div>
    <w:div w:id="1440946956">
      <w:bodyDiv w:val="1"/>
      <w:marLeft w:val="0"/>
      <w:marRight w:val="0"/>
      <w:marTop w:val="0"/>
      <w:marBottom w:val="0"/>
      <w:divBdr>
        <w:top w:val="none" w:sz="0" w:space="0" w:color="auto"/>
        <w:left w:val="none" w:sz="0" w:space="0" w:color="auto"/>
        <w:bottom w:val="none" w:sz="0" w:space="0" w:color="auto"/>
        <w:right w:val="none" w:sz="0" w:space="0" w:color="auto"/>
      </w:divBdr>
      <w:divsChild>
        <w:div w:id="1940094176">
          <w:marLeft w:val="605"/>
          <w:marRight w:val="0"/>
          <w:marTop w:val="140"/>
          <w:marBottom w:val="0"/>
          <w:divBdr>
            <w:top w:val="none" w:sz="0" w:space="0" w:color="auto"/>
            <w:left w:val="none" w:sz="0" w:space="0" w:color="auto"/>
            <w:bottom w:val="none" w:sz="0" w:space="0" w:color="auto"/>
            <w:right w:val="none" w:sz="0" w:space="0" w:color="auto"/>
          </w:divBdr>
        </w:div>
      </w:divsChild>
    </w:div>
    <w:div w:id="1500074764">
      <w:bodyDiv w:val="1"/>
      <w:marLeft w:val="0"/>
      <w:marRight w:val="0"/>
      <w:marTop w:val="0"/>
      <w:marBottom w:val="0"/>
      <w:divBdr>
        <w:top w:val="none" w:sz="0" w:space="0" w:color="auto"/>
        <w:left w:val="none" w:sz="0" w:space="0" w:color="auto"/>
        <w:bottom w:val="none" w:sz="0" w:space="0" w:color="auto"/>
        <w:right w:val="none" w:sz="0" w:space="0" w:color="auto"/>
      </w:divBdr>
      <w:divsChild>
        <w:div w:id="1799494231">
          <w:marLeft w:val="461"/>
          <w:marRight w:val="0"/>
          <w:marTop w:val="0"/>
          <w:marBottom w:val="0"/>
          <w:divBdr>
            <w:top w:val="none" w:sz="0" w:space="0" w:color="auto"/>
            <w:left w:val="none" w:sz="0" w:space="0" w:color="auto"/>
            <w:bottom w:val="none" w:sz="0" w:space="0" w:color="auto"/>
            <w:right w:val="none" w:sz="0" w:space="0" w:color="auto"/>
          </w:divBdr>
        </w:div>
        <w:div w:id="138235472">
          <w:marLeft w:val="461"/>
          <w:marRight w:val="0"/>
          <w:marTop w:val="0"/>
          <w:marBottom w:val="0"/>
          <w:divBdr>
            <w:top w:val="none" w:sz="0" w:space="0" w:color="auto"/>
            <w:left w:val="none" w:sz="0" w:space="0" w:color="auto"/>
            <w:bottom w:val="none" w:sz="0" w:space="0" w:color="auto"/>
            <w:right w:val="none" w:sz="0" w:space="0" w:color="auto"/>
          </w:divBdr>
        </w:div>
        <w:div w:id="23211445">
          <w:marLeft w:val="461"/>
          <w:marRight w:val="0"/>
          <w:marTop w:val="0"/>
          <w:marBottom w:val="0"/>
          <w:divBdr>
            <w:top w:val="none" w:sz="0" w:space="0" w:color="auto"/>
            <w:left w:val="none" w:sz="0" w:space="0" w:color="auto"/>
            <w:bottom w:val="none" w:sz="0" w:space="0" w:color="auto"/>
            <w:right w:val="none" w:sz="0" w:space="0" w:color="auto"/>
          </w:divBdr>
        </w:div>
        <w:div w:id="174996863">
          <w:marLeft w:val="461"/>
          <w:marRight w:val="0"/>
          <w:marTop w:val="0"/>
          <w:marBottom w:val="0"/>
          <w:divBdr>
            <w:top w:val="none" w:sz="0" w:space="0" w:color="auto"/>
            <w:left w:val="none" w:sz="0" w:space="0" w:color="auto"/>
            <w:bottom w:val="none" w:sz="0" w:space="0" w:color="auto"/>
            <w:right w:val="none" w:sz="0" w:space="0" w:color="auto"/>
          </w:divBdr>
        </w:div>
      </w:divsChild>
    </w:div>
    <w:div w:id="1655989316">
      <w:bodyDiv w:val="1"/>
      <w:marLeft w:val="0"/>
      <w:marRight w:val="0"/>
      <w:marTop w:val="0"/>
      <w:marBottom w:val="0"/>
      <w:divBdr>
        <w:top w:val="none" w:sz="0" w:space="0" w:color="auto"/>
        <w:left w:val="none" w:sz="0" w:space="0" w:color="auto"/>
        <w:bottom w:val="none" w:sz="0" w:space="0" w:color="auto"/>
        <w:right w:val="none" w:sz="0" w:space="0" w:color="auto"/>
      </w:divBdr>
      <w:divsChild>
        <w:div w:id="642924127">
          <w:marLeft w:val="547"/>
          <w:marRight w:val="0"/>
          <w:marTop w:val="0"/>
          <w:marBottom w:val="0"/>
          <w:divBdr>
            <w:top w:val="none" w:sz="0" w:space="0" w:color="auto"/>
            <w:left w:val="none" w:sz="0" w:space="0" w:color="auto"/>
            <w:bottom w:val="none" w:sz="0" w:space="0" w:color="auto"/>
            <w:right w:val="none" w:sz="0" w:space="0" w:color="auto"/>
          </w:divBdr>
        </w:div>
        <w:div w:id="1363633774">
          <w:marLeft w:val="1166"/>
          <w:marRight w:val="0"/>
          <w:marTop w:val="0"/>
          <w:marBottom w:val="0"/>
          <w:divBdr>
            <w:top w:val="none" w:sz="0" w:space="0" w:color="auto"/>
            <w:left w:val="none" w:sz="0" w:space="0" w:color="auto"/>
            <w:bottom w:val="none" w:sz="0" w:space="0" w:color="auto"/>
            <w:right w:val="none" w:sz="0" w:space="0" w:color="auto"/>
          </w:divBdr>
        </w:div>
        <w:div w:id="850874115">
          <w:marLeft w:val="1166"/>
          <w:marRight w:val="0"/>
          <w:marTop w:val="0"/>
          <w:marBottom w:val="0"/>
          <w:divBdr>
            <w:top w:val="none" w:sz="0" w:space="0" w:color="auto"/>
            <w:left w:val="none" w:sz="0" w:space="0" w:color="auto"/>
            <w:bottom w:val="none" w:sz="0" w:space="0" w:color="auto"/>
            <w:right w:val="none" w:sz="0" w:space="0" w:color="auto"/>
          </w:divBdr>
        </w:div>
        <w:div w:id="1330906784">
          <w:marLeft w:val="1166"/>
          <w:marRight w:val="0"/>
          <w:marTop w:val="0"/>
          <w:marBottom w:val="0"/>
          <w:divBdr>
            <w:top w:val="none" w:sz="0" w:space="0" w:color="auto"/>
            <w:left w:val="none" w:sz="0" w:space="0" w:color="auto"/>
            <w:bottom w:val="none" w:sz="0" w:space="0" w:color="auto"/>
            <w:right w:val="none" w:sz="0" w:space="0" w:color="auto"/>
          </w:divBdr>
        </w:div>
        <w:div w:id="1056583382">
          <w:marLeft w:val="1166"/>
          <w:marRight w:val="0"/>
          <w:marTop w:val="0"/>
          <w:marBottom w:val="0"/>
          <w:divBdr>
            <w:top w:val="none" w:sz="0" w:space="0" w:color="auto"/>
            <w:left w:val="none" w:sz="0" w:space="0" w:color="auto"/>
            <w:bottom w:val="none" w:sz="0" w:space="0" w:color="auto"/>
            <w:right w:val="none" w:sz="0" w:space="0" w:color="auto"/>
          </w:divBdr>
        </w:div>
        <w:div w:id="1271085597">
          <w:marLeft w:val="547"/>
          <w:marRight w:val="0"/>
          <w:marTop w:val="0"/>
          <w:marBottom w:val="0"/>
          <w:divBdr>
            <w:top w:val="none" w:sz="0" w:space="0" w:color="auto"/>
            <w:left w:val="none" w:sz="0" w:space="0" w:color="auto"/>
            <w:bottom w:val="none" w:sz="0" w:space="0" w:color="auto"/>
            <w:right w:val="none" w:sz="0" w:space="0" w:color="auto"/>
          </w:divBdr>
        </w:div>
        <w:div w:id="377896033">
          <w:marLeft w:val="1166"/>
          <w:marRight w:val="0"/>
          <w:marTop w:val="0"/>
          <w:marBottom w:val="0"/>
          <w:divBdr>
            <w:top w:val="none" w:sz="0" w:space="0" w:color="auto"/>
            <w:left w:val="none" w:sz="0" w:space="0" w:color="auto"/>
            <w:bottom w:val="none" w:sz="0" w:space="0" w:color="auto"/>
            <w:right w:val="none" w:sz="0" w:space="0" w:color="auto"/>
          </w:divBdr>
        </w:div>
        <w:div w:id="1827936463">
          <w:marLeft w:val="1166"/>
          <w:marRight w:val="0"/>
          <w:marTop w:val="0"/>
          <w:marBottom w:val="0"/>
          <w:divBdr>
            <w:top w:val="none" w:sz="0" w:space="0" w:color="auto"/>
            <w:left w:val="none" w:sz="0" w:space="0" w:color="auto"/>
            <w:bottom w:val="none" w:sz="0" w:space="0" w:color="auto"/>
            <w:right w:val="none" w:sz="0" w:space="0" w:color="auto"/>
          </w:divBdr>
        </w:div>
        <w:div w:id="1498577184">
          <w:marLeft w:val="1166"/>
          <w:marRight w:val="0"/>
          <w:marTop w:val="0"/>
          <w:marBottom w:val="0"/>
          <w:divBdr>
            <w:top w:val="none" w:sz="0" w:space="0" w:color="auto"/>
            <w:left w:val="none" w:sz="0" w:space="0" w:color="auto"/>
            <w:bottom w:val="none" w:sz="0" w:space="0" w:color="auto"/>
            <w:right w:val="none" w:sz="0" w:space="0" w:color="auto"/>
          </w:divBdr>
        </w:div>
        <w:div w:id="1597789319">
          <w:marLeft w:val="1166"/>
          <w:marRight w:val="0"/>
          <w:marTop w:val="0"/>
          <w:marBottom w:val="0"/>
          <w:divBdr>
            <w:top w:val="none" w:sz="0" w:space="0" w:color="auto"/>
            <w:left w:val="none" w:sz="0" w:space="0" w:color="auto"/>
            <w:bottom w:val="none" w:sz="0" w:space="0" w:color="auto"/>
            <w:right w:val="none" w:sz="0" w:space="0" w:color="auto"/>
          </w:divBdr>
        </w:div>
        <w:div w:id="1306399007">
          <w:marLeft w:val="547"/>
          <w:marRight w:val="0"/>
          <w:marTop w:val="0"/>
          <w:marBottom w:val="0"/>
          <w:divBdr>
            <w:top w:val="none" w:sz="0" w:space="0" w:color="auto"/>
            <w:left w:val="none" w:sz="0" w:space="0" w:color="auto"/>
            <w:bottom w:val="none" w:sz="0" w:space="0" w:color="auto"/>
            <w:right w:val="none" w:sz="0" w:space="0" w:color="auto"/>
          </w:divBdr>
        </w:div>
        <w:div w:id="1553809767">
          <w:marLeft w:val="1166"/>
          <w:marRight w:val="0"/>
          <w:marTop w:val="0"/>
          <w:marBottom w:val="0"/>
          <w:divBdr>
            <w:top w:val="none" w:sz="0" w:space="0" w:color="auto"/>
            <w:left w:val="none" w:sz="0" w:space="0" w:color="auto"/>
            <w:bottom w:val="none" w:sz="0" w:space="0" w:color="auto"/>
            <w:right w:val="none" w:sz="0" w:space="0" w:color="auto"/>
          </w:divBdr>
        </w:div>
        <w:div w:id="539319111">
          <w:marLeft w:val="1166"/>
          <w:marRight w:val="0"/>
          <w:marTop w:val="0"/>
          <w:marBottom w:val="0"/>
          <w:divBdr>
            <w:top w:val="none" w:sz="0" w:space="0" w:color="auto"/>
            <w:left w:val="none" w:sz="0" w:space="0" w:color="auto"/>
            <w:bottom w:val="none" w:sz="0" w:space="0" w:color="auto"/>
            <w:right w:val="none" w:sz="0" w:space="0" w:color="auto"/>
          </w:divBdr>
        </w:div>
      </w:divsChild>
    </w:div>
    <w:div w:id="1660960542">
      <w:bodyDiv w:val="1"/>
      <w:marLeft w:val="0"/>
      <w:marRight w:val="0"/>
      <w:marTop w:val="0"/>
      <w:marBottom w:val="0"/>
      <w:divBdr>
        <w:top w:val="none" w:sz="0" w:space="0" w:color="auto"/>
        <w:left w:val="none" w:sz="0" w:space="0" w:color="auto"/>
        <w:bottom w:val="none" w:sz="0" w:space="0" w:color="auto"/>
        <w:right w:val="none" w:sz="0" w:space="0" w:color="auto"/>
      </w:divBdr>
    </w:div>
    <w:div w:id="1857846726">
      <w:bodyDiv w:val="1"/>
      <w:marLeft w:val="0"/>
      <w:marRight w:val="0"/>
      <w:marTop w:val="0"/>
      <w:marBottom w:val="0"/>
      <w:divBdr>
        <w:top w:val="none" w:sz="0" w:space="0" w:color="auto"/>
        <w:left w:val="none" w:sz="0" w:space="0" w:color="auto"/>
        <w:bottom w:val="none" w:sz="0" w:space="0" w:color="auto"/>
        <w:right w:val="none" w:sz="0" w:space="0" w:color="auto"/>
      </w:divBdr>
    </w:div>
    <w:div w:id="18623509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odi.org.uk/resources/docs/265.pdf" TargetMode="External"/><Relationship Id="rId21" Type="http://schemas.openxmlformats.org/officeDocument/2006/relationships/hyperlink" Target="http://dyson.cornell.edu/faculty_sites/cbb2/Papers/20110331MIFIRADraft.pdf" TargetMode="External"/><Relationship Id="rId22" Type="http://schemas.openxmlformats.org/officeDocument/2006/relationships/hyperlink" Target="http://dyson.cornell.edu/faculty_sites/cbb2/MIFIRA/apps/" TargetMode="External"/><Relationship Id="rId23" Type="http://schemas.openxmlformats.org/officeDocument/2006/relationships/hyperlink" Target="http://dyson.cornell.edu/faculty_sites/cbb2/MIFIRA/apps/" TargetMode="External"/><Relationship Id="rId24" Type="http://schemas.openxmlformats.org/officeDocument/2006/relationships/image" Target="media/image1.jpg"/><Relationship Id="rId25" Type="http://schemas.openxmlformats.org/officeDocument/2006/relationships/image" Target="media/image2.png"/><Relationship Id="rId26" Type="http://schemas.openxmlformats.org/officeDocument/2006/relationships/hyperlink" Target="http://www.ifrc.org/Docs/pubs/disasters/resources/corner/dp-manual/Disemnas.pdf" TargetMode="External"/><Relationship Id="rId27" Type="http://schemas.openxmlformats.org/officeDocument/2006/relationships/image" Target="media/image3.png"/><Relationship Id="rId28" Type="http://schemas.openxmlformats.org/officeDocument/2006/relationships/image" Target="media/image4.png"/><Relationship Id="rId29" Type="http://schemas.openxmlformats.org/officeDocument/2006/relationships/image" Target="media/image5.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6.png"/><Relationship Id="rId31" Type="http://schemas.openxmlformats.org/officeDocument/2006/relationships/image" Target="media/image7.png"/><Relationship Id="rId32" Type="http://schemas.openxmlformats.org/officeDocument/2006/relationships/image" Target="media/image8.png"/><Relationship Id="rId9" Type="http://schemas.openxmlformats.org/officeDocument/2006/relationships/hyperlink" Target="http://www.springerlink.com/content/20t80w3656428335/"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dx.doi.org/10.1007%2Fs12571-009-0021-3" TargetMode="External"/><Relationship Id="rId33" Type="http://schemas.openxmlformats.org/officeDocument/2006/relationships/image" Target="media/image9.png"/><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hyperlink" Target="http://documents.wfp.org/stellent/groups/public/documents/manual_guide_proced/wfp203245.pdf" TargetMode="External"/><Relationship Id="rId11" Type="http://schemas.openxmlformats.org/officeDocument/2006/relationships/hyperlink" Target="http://dx.doi.org/10.1111%2Fj.1759-5436.2007.tb00383.x" TargetMode="External"/><Relationship Id="rId12" Type="http://schemas.openxmlformats.org/officeDocument/2006/relationships/hyperlink" Target="http://www.odi.org.uk/resources/docs/265.pdf" TargetMode="External"/><Relationship Id="rId13" Type="http://schemas.openxmlformats.org/officeDocument/2006/relationships/hyperlink" Target="http://dyson.cornell.edu/faculty_sites/cbb2/Papers/20110331MIFIRADraft.pdf" TargetMode="External"/><Relationship Id="rId14" Type="http://schemas.openxmlformats.org/officeDocument/2006/relationships/hyperlink" Target="http://dyson.cornell.edu/faculty_sites/cbb2/MIFIRA/apps/" TargetMode="External"/><Relationship Id="rId15" Type="http://schemas.openxmlformats.org/officeDocument/2006/relationships/hyperlink" Target="http://dyson.cornell.edu/faculty_sites/cbb2/MIFIRA/apps/" TargetMode="External"/><Relationship Id="rId16" Type="http://schemas.openxmlformats.org/officeDocument/2006/relationships/hyperlink" Target="http://dx.doi.org/10.1007%2Fs12571-009-0021-3" TargetMode="External"/><Relationship Id="rId17" Type="http://schemas.openxmlformats.org/officeDocument/2006/relationships/hyperlink" Target="http://www.springerlink.com/content/20t80w3656428335/" TargetMode="External"/><Relationship Id="rId18" Type="http://schemas.openxmlformats.org/officeDocument/2006/relationships/hyperlink" Target="http://documents.wfp.org/stellent/groups/public/documents/manual_guide_proced/wfp203245.pdf" TargetMode="External"/><Relationship Id="rId19" Type="http://schemas.openxmlformats.org/officeDocument/2006/relationships/hyperlink" Target="http://dx.doi.org/10.1111%2Fj.1759-5436.2007.tb00383.x" TargetMode="External"/><Relationship Id="rId3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fao.org/economic/esa/seed2d/projects2/marketsseedsdiversity/keyconcepts/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18</Pages>
  <Words>4962</Words>
  <Characters>28290</Characters>
  <Application>Microsoft Macintosh Word</Application>
  <DocSecurity>0</DocSecurity>
  <Lines>235</Lines>
  <Paragraphs>66</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Lecture 1: Response Analysis and Approaches</vt:lpstr>
      <vt:lpstr/>
    </vt:vector>
  </TitlesOfParts>
  <Company>Cornell University</Company>
  <LinksUpToDate>false</LinksUpToDate>
  <CharactersWithSpaces>33186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Lentz</dc:creator>
  <cp:keywords/>
  <cp:lastModifiedBy>Erin Lentz</cp:lastModifiedBy>
  <cp:revision>11</cp:revision>
  <cp:lastPrinted>2012-02-07T17:07:00Z</cp:lastPrinted>
  <dcterms:created xsi:type="dcterms:W3CDTF">2012-03-12T18:24:00Z</dcterms:created>
  <dcterms:modified xsi:type="dcterms:W3CDTF">2012-03-30T13:52:00Z</dcterms:modified>
</cp:coreProperties>
</file>